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0776D81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00776D82" w14:textId="77777777">
      <w:r>
        <w:fldChar w:fldCharType="begin" w:fldLock="1"/>
      </w:r>
      <w:r w:rsidR="00B8740B">
        <w:instrText xml:space="preserve"> DOCVARIABLE EK_Merknad </w:instrText>
      </w:r>
      <w:r>
        <w:fldChar w:fldCharType="separate"/>
      </w:r>
      <w:r w:rsidR="00B8740B">
        <w:t>Ingen faglige endringer</w:t>
      </w:r>
      <w:r>
        <w:fldChar w:fldCharType="end"/>
      </w:r>
    </w:p>
    <w:p w:rsidR="00C85C53" w:rsidP="00342ACE" w14:paraId="00776D83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 w14:paraId="00776D84" w14:textId="05AD3083">
      <w:r>
        <w:t xml:space="preserve">Sikre </w:t>
      </w:r>
      <w:r w:rsidRPr="003A62F1">
        <w:t>optimal oppfølging og behandling av gravide og fødende kvinner med epilepsi</w:t>
      </w:r>
    </w:p>
    <w:p w:rsidR="00C85C53" w:rsidP="00E82E67" w14:paraId="00776D85" w14:textId="77777777">
      <w:pPr>
        <w:pStyle w:val="Heading2"/>
      </w:pPr>
      <w:r w:rsidRPr="007223F3">
        <w:t>Målgruppe</w:t>
      </w:r>
    </w:p>
    <w:p w:rsidR="003D6731" w:rsidP="003D6731" w14:paraId="00776D86" w14:textId="152079E4">
      <w:pPr>
        <w:tabs>
          <w:tab w:val="left" w:pos="5956"/>
        </w:tabs>
      </w:pPr>
      <w:r w:rsidRPr="003A62F1">
        <w:t>Medarbeidere ved kvinneklinikken og nevrologisk seksjon</w:t>
      </w:r>
      <w:r>
        <w:t xml:space="preserve"> i Sykehuset Østfold (SØ)</w:t>
      </w:r>
      <w:r>
        <w:tab/>
      </w:r>
    </w:p>
    <w:p w:rsidR="007C4882" w:rsidP="008C73C1" w14:paraId="00776D87" w14:textId="77777777">
      <w:pPr>
        <w:pStyle w:val="Heading2"/>
      </w:pPr>
      <w:r>
        <w:t>Fremgangsmåte</w:t>
      </w:r>
      <w:r w:rsidR="006A24B1">
        <w:t xml:space="preserve"> </w:t>
      </w:r>
    </w:p>
    <w:p w:rsidR="00B8740B" w:rsidRPr="00643DBF" w:rsidP="00B8740B" w14:paraId="55227420" w14:textId="77777777"/>
    <w:p w:rsidR="00B8740B" w:rsidRPr="0060582F" w:rsidP="00B8740B" w14:paraId="25CDCF16" w14:textId="77777777">
      <w:pPr>
        <w:rPr>
          <w:bCs/>
          <w:u w:val="single"/>
        </w:rPr>
      </w:pPr>
      <w:r w:rsidRPr="0060582F">
        <w:rPr>
          <w:bCs/>
          <w:u w:val="single"/>
        </w:rPr>
        <w:t>Prekonsepsjonell</w:t>
      </w:r>
      <w:r w:rsidRPr="0060582F">
        <w:rPr>
          <w:bCs/>
          <w:u w:val="single"/>
        </w:rPr>
        <w:t xml:space="preserve"> veiledning </w:t>
      </w:r>
    </w:p>
    <w:p w:rsidR="00B8740B" w:rsidRPr="00AA7DB1" w:rsidP="00B8740B" w14:paraId="638E4233" w14:textId="77777777">
      <w:pPr>
        <w:pStyle w:val="ListParagraph"/>
        <w:numPr>
          <w:ilvl w:val="0"/>
          <w:numId w:val="28"/>
        </w:numPr>
      </w:pPr>
      <w:r>
        <w:t>P</w:t>
      </w:r>
      <w:r w:rsidRPr="00AD706C">
        <w:t>rekonsepsjonell</w:t>
      </w:r>
      <w:r w:rsidRPr="00AD706C">
        <w:t xml:space="preserve"> veiledning hos nevrolog fra 6-12 måneder før ønsket graviditet</w:t>
      </w:r>
      <w:r>
        <w:t xml:space="preserve"> </w:t>
      </w:r>
      <w:r w:rsidRPr="00AA7DB1">
        <w:t xml:space="preserve">for </w:t>
      </w:r>
      <w:r>
        <w:t xml:space="preserve">å </w:t>
      </w:r>
      <w:r w:rsidRPr="00AA7DB1">
        <w:t xml:space="preserve">bedre anfallskontroll og optimalisering av antiepileptisk behandling. </w:t>
      </w:r>
      <w:r w:rsidRPr="00AA7DB1">
        <w:t>Pregravid</w:t>
      </w:r>
      <w:r w:rsidRPr="00AA7DB1">
        <w:t xml:space="preserve"> anfallsfrihet øker sannsynlighet for anfallsfrihet i løpet av svangerskapet og under fødsel. </w:t>
      </w:r>
    </w:p>
    <w:p w:rsidR="00B8740B" w:rsidRPr="00AA7DB1" w:rsidP="00B8740B" w14:paraId="638E9C1B" w14:textId="77777777">
      <w:pPr>
        <w:numPr>
          <w:ilvl w:val="0"/>
          <w:numId w:val="28"/>
        </w:numPr>
      </w:pPr>
      <w:r>
        <w:t>Tilstreb</w:t>
      </w:r>
      <w:r w:rsidRPr="00AA7DB1">
        <w:t xml:space="preserve"> monoterapi og lavest mulig effektiv dose. </w:t>
      </w:r>
    </w:p>
    <w:p w:rsidR="00B8740B" w:rsidP="00B8740B" w14:paraId="7107A221" w14:textId="77777777">
      <w:pPr>
        <w:numPr>
          <w:ilvl w:val="0"/>
          <w:numId w:val="28"/>
        </w:numPr>
      </w:pPr>
      <w:r w:rsidRPr="00930374">
        <w:rPr>
          <w:b/>
        </w:rPr>
        <w:t>Folsyretilskudd.</w:t>
      </w:r>
      <w:r w:rsidRPr="00AA7DB1">
        <w:t xml:space="preserve"> </w:t>
      </w:r>
      <w:r>
        <w:t xml:space="preserve">Alle fertile kvinner bør bruke </w:t>
      </w:r>
      <w:r w:rsidRPr="00AA7DB1">
        <w:t xml:space="preserve">folsyretilskudd </w:t>
      </w:r>
      <w:r>
        <w:t>0,4 mg uavhengig av svangerskap. Ved graviditetsønske foreslås</w:t>
      </w:r>
      <w:r w:rsidRPr="00AA7DB1">
        <w:t xml:space="preserve"> 1-4 mg uavhengig av type </w:t>
      </w:r>
      <w:r w:rsidRPr="00AA7DB1">
        <w:t>antiepile</w:t>
      </w:r>
      <w:r>
        <w:t>ptika</w:t>
      </w:r>
      <w:r>
        <w:t xml:space="preserve"> fra avsluttet prevensjon </w:t>
      </w:r>
      <w:r w:rsidRPr="00AA7DB1">
        <w:t>til og med første trimester. Deretter vanlig folsyre do</w:t>
      </w:r>
      <w:r>
        <w:t xml:space="preserve">se 0,4 mg gjennom svangerskapet og i ammeperioden. </w:t>
      </w:r>
    </w:p>
    <w:p w:rsidR="00B8740B" w:rsidRPr="00AA7DB1" w:rsidP="00B8740B" w14:paraId="4CE3C286" w14:textId="77777777">
      <w:pPr>
        <w:numPr>
          <w:ilvl w:val="0"/>
          <w:numId w:val="28"/>
        </w:numPr>
      </w:pPr>
      <w:r w:rsidRPr="00AA7DB1">
        <w:t xml:space="preserve">Lav </w:t>
      </w:r>
      <w:r w:rsidRPr="00AA7DB1">
        <w:t>folat</w:t>
      </w:r>
      <w:r w:rsidRPr="00AA7DB1">
        <w:t xml:space="preserve"> status hos </w:t>
      </w:r>
      <w:r>
        <w:t xml:space="preserve">kvinner som bruker </w:t>
      </w:r>
      <w:r>
        <w:t>antiepileptika</w:t>
      </w:r>
      <w:r w:rsidRPr="00AA7DB1">
        <w:t xml:space="preserve"> er assosiert med nevralrørsdefekter</w:t>
      </w:r>
      <w:r>
        <w:t>,</w:t>
      </w:r>
      <w:r w:rsidRPr="00AA7DB1">
        <w:t xml:space="preserve"> </w:t>
      </w:r>
      <w:r w:rsidRPr="00AA7DB1">
        <w:t>malformasjoner</w:t>
      </w:r>
      <w:r>
        <w:t>, autisme samt lavere IQ hos barnet</w:t>
      </w:r>
      <w:r w:rsidRPr="00AA7DB1">
        <w:t xml:space="preserve">. </w:t>
      </w:r>
      <w:r>
        <w:t>A</w:t>
      </w:r>
      <w:r w:rsidRPr="00AA7DB1">
        <w:t>ntiepileptika</w:t>
      </w:r>
      <w:r w:rsidRPr="00AA7DB1">
        <w:t xml:space="preserve"> </w:t>
      </w:r>
      <w:r>
        <w:t xml:space="preserve">kan i seg selv </w:t>
      </w:r>
      <w:r w:rsidRPr="00AA7DB1">
        <w:t>redusere</w:t>
      </w:r>
      <w:r>
        <w:t xml:space="preserve"> </w:t>
      </w:r>
      <w:r w:rsidRPr="00AA7DB1">
        <w:t>folat</w:t>
      </w:r>
      <w:r>
        <w:t xml:space="preserve"> nivået.</w:t>
      </w:r>
      <w:r w:rsidRPr="00AA7DB1">
        <w:t xml:space="preserve"> </w:t>
      </w:r>
    </w:p>
    <w:p w:rsidR="00B8740B" w:rsidRPr="0060582F" w:rsidP="00B8740B" w14:paraId="58AA764E" w14:textId="77777777">
      <w:pPr>
        <w:numPr>
          <w:ilvl w:val="0"/>
          <w:numId w:val="28"/>
        </w:numPr>
      </w:pPr>
      <w:r w:rsidRPr="0060582F">
        <w:t>Optimalisering av annen komorbiditet (hypertensjon</w:t>
      </w:r>
      <w:r>
        <w:t>, diabetes, overvekt, røyking)</w:t>
      </w:r>
      <w:r w:rsidRPr="0060582F">
        <w:t>.</w:t>
      </w:r>
    </w:p>
    <w:p w:rsidR="00B8740B" w:rsidRPr="00AA7DB1" w:rsidP="00B8740B" w14:paraId="1E897032" w14:textId="77777777">
      <w:pPr>
        <w:numPr>
          <w:ilvl w:val="0"/>
          <w:numId w:val="28"/>
        </w:numPr>
      </w:pPr>
      <w:r w:rsidRPr="00AA7DB1">
        <w:t>Kvinner med epilepsi har omtrent dobling av risiko for depresjon, a</w:t>
      </w:r>
      <w:r>
        <w:t>ngst og psykisk sykdom generelt, og r</w:t>
      </w:r>
      <w:r w:rsidRPr="0060582F">
        <w:t>isiko for svangerskapsrelatert psykisk komorbiditet bør vurderes</w:t>
      </w:r>
      <w:r>
        <w:t xml:space="preserve">. </w:t>
      </w:r>
      <w:r w:rsidRPr="00AA7DB1">
        <w:t xml:space="preserve"> </w:t>
      </w:r>
    </w:p>
    <w:p w:rsidR="00B8740B" w:rsidRPr="00AA7DB1" w:rsidP="00B8740B" w14:paraId="19A1EA2F" w14:textId="77777777">
      <w:pPr>
        <w:numPr>
          <w:ilvl w:val="0"/>
          <w:numId w:val="28"/>
        </w:numPr>
      </w:pPr>
      <w:r>
        <w:t>E</w:t>
      </w:r>
      <w:r w:rsidRPr="00AA7DB1">
        <w:t xml:space="preserve">nzyminduserende </w:t>
      </w:r>
      <w:r w:rsidRPr="00AA7DB1">
        <w:t>antiepileptika</w:t>
      </w:r>
      <w:r w:rsidRPr="00AA7DB1">
        <w:t xml:space="preserve"> kan påvirke effekt av vanlige prevensjonsmidler, spesielt kombinasjonspreparater. Hormonspiral/ kobberspiral er førstevalg </w:t>
      </w:r>
      <w:r>
        <w:t xml:space="preserve">som prevensjonsmiddel. </w:t>
      </w:r>
      <w:r w:rsidRPr="00AA7DB1">
        <w:t xml:space="preserve"> </w:t>
      </w:r>
      <w:r w:rsidRPr="00AA7DB1">
        <w:br/>
        <w:t> </w:t>
      </w:r>
    </w:p>
    <w:p w:rsidR="00B8740B" w:rsidRPr="00AA7DB1" w:rsidP="00B8740B" w14:paraId="73A1D381" w14:textId="77777777">
      <w:r w:rsidRPr="00AA7DB1">
        <w:t> </w:t>
      </w:r>
    </w:p>
    <w:p w:rsidR="00B8740B" w:rsidRPr="00930374" w:rsidP="00B8740B" w14:paraId="223BF22D" w14:textId="77777777">
      <w:pPr>
        <w:rPr>
          <w:bCs/>
          <w:u w:val="single"/>
        </w:rPr>
      </w:pPr>
      <w:r w:rsidRPr="00930374">
        <w:rPr>
          <w:bCs/>
          <w:u w:val="single"/>
        </w:rPr>
        <w:t xml:space="preserve">Epilepsi, </w:t>
      </w:r>
      <w:r w:rsidRPr="00930374">
        <w:rPr>
          <w:bCs/>
          <w:u w:val="single"/>
        </w:rPr>
        <w:t>antiepileptika</w:t>
      </w:r>
      <w:r w:rsidRPr="00930374">
        <w:rPr>
          <w:bCs/>
          <w:u w:val="single"/>
        </w:rPr>
        <w:t xml:space="preserve"> og svangerskapet</w:t>
      </w:r>
    </w:p>
    <w:p w:rsidR="00B8740B" w:rsidP="00B8740B" w14:paraId="70C67AFE" w14:textId="77777777">
      <w:pPr>
        <w:pStyle w:val="ListParagraph"/>
        <w:numPr>
          <w:ilvl w:val="0"/>
          <w:numId w:val="33"/>
        </w:numPr>
      </w:pPr>
      <w:r w:rsidRPr="00251570">
        <w:t>I Norge føder ca. 300-400 kvinner med epilepsi hvert år.</w:t>
      </w:r>
    </w:p>
    <w:p w:rsidR="00B8740B" w:rsidP="00B8740B" w14:paraId="09694987" w14:textId="77777777">
      <w:pPr>
        <w:pStyle w:val="ListParagraph"/>
        <w:numPr>
          <w:ilvl w:val="0"/>
          <w:numId w:val="33"/>
        </w:numPr>
      </w:pPr>
      <w:r w:rsidRPr="00251570">
        <w:t xml:space="preserve">Opptil 70 % </w:t>
      </w:r>
      <w:r>
        <w:t>har</w:t>
      </w:r>
      <w:r w:rsidRPr="00251570">
        <w:t xml:space="preserve"> uendret anfallsfrekvens under svangerskapet</w:t>
      </w:r>
      <w:r>
        <w:t xml:space="preserve">, </w:t>
      </w:r>
      <w:r w:rsidRPr="00251570">
        <w:t xml:space="preserve">opptil 60 % er anfallsfrie. Risikoen for anfall er størst under fødsel og døgnet før/etter fødselen, </w:t>
      </w:r>
      <w:r>
        <w:t>dog er</w:t>
      </w:r>
      <w:r w:rsidRPr="00251570">
        <w:t xml:space="preserve"> det færre en 3 % som får anfall i denne perioden.</w:t>
      </w:r>
    </w:p>
    <w:p w:rsidR="00B8740B" w:rsidP="00B8740B" w14:paraId="27367F36" w14:textId="77777777">
      <w:pPr>
        <w:pStyle w:val="ListParagraph"/>
        <w:numPr>
          <w:ilvl w:val="0"/>
          <w:numId w:val="33"/>
        </w:numPr>
      </w:pPr>
      <w:r>
        <w:t xml:space="preserve">Det er ikke vist sammenheng mellom </w:t>
      </w:r>
      <w:r w:rsidRPr="00AA7DB1">
        <w:t xml:space="preserve">enkeltstående anfall og fosterskade eller -død, men </w:t>
      </w:r>
      <w:r>
        <w:t xml:space="preserve">gjentatte anfall er assosiert med IUGR samt lavere IQ hos barnet.  </w:t>
      </w:r>
      <w:r w:rsidRPr="00AA7DB1">
        <w:t xml:space="preserve">Anfall </w:t>
      </w:r>
      <w:r>
        <w:t>i seg selv</w:t>
      </w:r>
      <w:r w:rsidRPr="00AA7DB1">
        <w:t xml:space="preserve"> øker ikke risikoen for </w:t>
      </w:r>
      <w:r w:rsidRPr="00AA7DB1">
        <w:t>malformasjoner</w:t>
      </w:r>
      <w:r w:rsidRPr="00AA7DB1">
        <w:t xml:space="preserve"> hos foster. Fosterdød etter status </w:t>
      </w:r>
      <w:r w:rsidRPr="00AA7DB1">
        <w:t>epileptikus</w:t>
      </w:r>
      <w:r w:rsidRPr="00AA7DB1">
        <w:t xml:space="preserve"> er rapportert.</w:t>
      </w:r>
    </w:p>
    <w:p w:rsidR="00B8740B" w:rsidP="00B8740B" w14:paraId="70BAF2D0" w14:textId="77777777">
      <w:pPr>
        <w:pStyle w:val="ListParagraph"/>
        <w:numPr>
          <w:ilvl w:val="0"/>
          <w:numId w:val="33"/>
        </w:numPr>
      </w:pPr>
      <w:r w:rsidRPr="00251570">
        <w:rPr>
          <w:bCs/>
        </w:rPr>
        <w:t>Svangerskapskomplikasjoner</w:t>
      </w:r>
      <w:r w:rsidRPr="00AA7DB1">
        <w:t xml:space="preserve">: </w:t>
      </w:r>
      <w:r>
        <w:t>K</w:t>
      </w:r>
      <w:r w:rsidRPr="00AA7DB1">
        <w:t xml:space="preserve">vinner som bruker </w:t>
      </w:r>
      <w:r w:rsidRPr="00AA7DB1">
        <w:t>antiepileptika</w:t>
      </w:r>
      <w:r w:rsidRPr="00AA7DB1">
        <w:t xml:space="preserve"> </w:t>
      </w:r>
      <w:r>
        <w:t xml:space="preserve">har </w:t>
      </w:r>
      <w:r w:rsidRPr="00AA7DB1">
        <w:t xml:space="preserve">økt risiko for hypertensive komplikasjoner, blødning i svangerskapet, induksjon, keisersnitt, prematur fødsel, lav fødselsvekt og postpartum-blødning. </w:t>
      </w:r>
    </w:p>
    <w:p w:rsidR="00B8740B" w:rsidP="00B8740B" w14:paraId="4F01F83E" w14:textId="77777777">
      <w:pPr>
        <w:pStyle w:val="ListParagraph"/>
        <w:numPr>
          <w:ilvl w:val="0"/>
          <w:numId w:val="33"/>
        </w:numPr>
      </w:pPr>
      <w:r w:rsidRPr="00AA7DB1">
        <w:t>Foruteksisterende</w:t>
      </w:r>
      <w:r w:rsidRPr="00AA7DB1">
        <w:t xml:space="preserve"> komorbiditet (diabetes, overvekt, røyking) øker risikoen for svangerskapskomplikasjoner betydelig hos kvinner med epilepsi </w:t>
      </w:r>
      <w:r>
        <w:t>og bør følges opp spesielt nøye</w:t>
      </w:r>
      <w:r w:rsidRPr="00AA7DB1">
        <w:t>.</w:t>
      </w:r>
    </w:p>
    <w:p w:rsidR="00B8740B" w:rsidP="00B8740B" w14:paraId="199D44E8" w14:textId="77777777">
      <w:pPr>
        <w:pStyle w:val="ListParagraph"/>
      </w:pPr>
    </w:p>
    <w:p w:rsidR="00B8740B" w:rsidP="00B8740B" w14:paraId="41693EB7" w14:textId="77777777">
      <w:pPr>
        <w:pStyle w:val="ListParagraph"/>
        <w:numPr>
          <w:ilvl w:val="0"/>
          <w:numId w:val="33"/>
        </w:numPr>
      </w:pPr>
      <w:r w:rsidRPr="00251570">
        <w:rPr>
          <w:bCs/>
          <w:i/>
        </w:rPr>
        <w:t>Medfødte misdannelser og nevrologisk utvikling:</w:t>
      </w:r>
      <w:r w:rsidRPr="00AA7DB1">
        <w:t xml:space="preserve"> </w:t>
      </w:r>
      <w:r w:rsidRPr="00AA7DB1">
        <w:t>Lamotrigine</w:t>
      </w:r>
      <w:r w:rsidRPr="00AA7DB1">
        <w:t xml:space="preserve"> og </w:t>
      </w:r>
      <w:r w:rsidRPr="00AA7DB1">
        <w:t>levetiracetam</w:t>
      </w:r>
      <w:r w:rsidRPr="00AA7DB1">
        <w:t xml:space="preserve"> er foretrukne </w:t>
      </w:r>
      <w:r w:rsidRPr="00AA7DB1">
        <w:t>antiepileptika</w:t>
      </w:r>
      <w:r w:rsidRPr="00AA7DB1">
        <w:t xml:space="preserve"> i svangerskapet. Forekomsten av misdannelser er relatert til kombinasjonsterapi med </w:t>
      </w:r>
      <w:r w:rsidRPr="00AA7DB1">
        <w:t>valproat</w:t>
      </w:r>
      <w:r w:rsidRPr="00AA7DB1">
        <w:t xml:space="preserve"> eller </w:t>
      </w:r>
      <w:r w:rsidRPr="00AA7DB1">
        <w:t>topiramat</w:t>
      </w:r>
      <w:r w:rsidRPr="00AA7DB1">
        <w:t xml:space="preserve"> og til dose</w:t>
      </w:r>
      <w:r>
        <w:t xml:space="preserve">. </w:t>
      </w:r>
      <w:r w:rsidRPr="00AA7DB1">
        <w:t xml:space="preserve">Den høyeste forekomsten av misdannelser er blant kvinner som har brukt mer enn 1500 mg </w:t>
      </w:r>
      <w:r w:rsidRPr="00AA7DB1">
        <w:t>valproat</w:t>
      </w:r>
      <w:r w:rsidRPr="00AA7DB1">
        <w:t xml:space="preserve"> daglig, 23 %. </w:t>
      </w:r>
    </w:p>
    <w:p w:rsidR="00B8740B" w:rsidRPr="00AA7DB1" w:rsidP="00B8740B" w14:paraId="7D97C26D" w14:textId="77777777"/>
    <w:p w:rsidR="00B8740B" w:rsidP="00B8740B" w14:paraId="420AC888" w14:textId="77777777">
      <w:pPr>
        <w:rPr>
          <w:noProof/>
        </w:rPr>
      </w:pPr>
    </w:p>
    <w:p w:rsidR="00B8740B" w:rsidP="00B8740B" w14:paraId="32BBE9D7" w14:textId="77777777">
      <w:pPr>
        <w:rPr>
          <w:noProof/>
        </w:rPr>
      </w:pPr>
    </w:p>
    <w:p w:rsidR="00B8740B" w:rsidP="00B8740B" w14:paraId="6E06AE2D" w14:textId="77777777">
      <w:pPr>
        <w:rPr>
          <w:noProof/>
        </w:rPr>
      </w:pPr>
      <w:bookmarkStart w:id="0" w:name="_GoBack"/>
      <w:bookmarkEnd w:id="0"/>
    </w:p>
    <w:p w:rsidR="00B8740B" w:rsidRPr="00AA7DB1" w:rsidP="00B8740B" w14:paraId="1154E2B8" w14:textId="77777777"/>
    <w:p w:rsidR="00B8740B" w:rsidRPr="00643DBF" w:rsidP="00B8740B" w14:paraId="008A75C1" w14:textId="77777777">
      <w:pPr>
        <w:rPr>
          <w:b/>
        </w:rPr>
      </w:pPr>
      <w:r w:rsidRPr="00AA7DB1">
        <w:t> </w:t>
      </w:r>
      <w:r w:rsidRPr="00643DBF">
        <w:rPr>
          <w:b/>
        </w:rPr>
        <w:t xml:space="preserve">Tabell 1. </w:t>
      </w:r>
      <w:r w:rsidRPr="00643DBF">
        <w:rPr>
          <w:b/>
        </w:rPr>
        <w:t>Fosterskadelighet</w:t>
      </w:r>
      <w:r w:rsidRPr="00643DBF">
        <w:rPr>
          <w:b/>
        </w:rPr>
        <w:t xml:space="preserve"> av </w:t>
      </w:r>
      <w:r w:rsidRPr="00643DBF">
        <w:rPr>
          <w:b/>
        </w:rPr>
        <w:t>antiepileptika</w:t>
      </w:r>
    </w:p>
    <w:tbl>
      <w:tblPr>
        <w:tblStyle w:val="TableGrid"/>
        <w:tblW w:w="10343" w:type="dxa"/>
        <w:tblLook w:val="04A0"/>
      </w:tblPr>
      <w:tblGrid>
        <w:gridCol w:w="1595"/>
        <w:gridCol w:w="1519"/>
        <w:gridCol w:w="7229"/>
      </w:tblGrid>
      <w:tr w14:paraId="0AB65765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5AD41679" w14:textId="77777777">
            <w:pPr>
              <w:rPr>
                <w:sz w:val="20"/>
              </w:rPr>
            </w:pPr>
          </w:p>
        </w:tc>
        <w:tc>
          <w:tcPr>
            <w:tcW w:w="1519" w:type="dxa"/>
          </w:tcPr>
          <w:p w:rsidR="00B8740B" w:rsidRPr="00A3590A" w:rsidP="004F1412" w14:paraId="156F03FE" w14:textId="77777777">
            <w:pPr>
              <w:rPr>
                <w:b/>
                <w:sz w:val="20"/>
              </w:rPr>
            </w:pPr>
            <w:r w:rsidRPr="00A3590A">
              <w:rPr>
                <w:b/>
                <w:sz w:val="20"/>
              </w:rPr>
              <w:t>Risiko for større misdannelser</w:t>
            </w:r>
          </w:p>
        </w:tc>
        <w:tc>
          <w:tcPr>
            <w:tcW w:w="7229" w:type="dxa"/>
          </w:tcPr>
          <w:p w:rsidR="00B8740B" w:rsidRPr="00A3590A" w:rsidP="004F1412" w14:paraId="5EF8D2A8" w14:textId="77777777">
            <w:pPr>
              <w:rPr>
                <w:b/>
                <w:sz w:val="20"/>
              </w:rPr>
            </w:pPr>
            <w:r w:rsidRPr="00A3590A">
              <w:rPr>
                <w:b/>
                <w:sz w:val="20"/>
              </w:rPr>
              <w:t>Hyppigst forekommende misdannelser</w:t>
            </w:r>
          </w:p>
        </w:tc>
      </w:tr>
      <w:tr w14:paraId="6DBF3EDB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1043616F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Gabape</w:t>
            </w:r>
            <w:r>
              <w:rPr>
                <w:sz w:val="20"/>
              </w:rPr>
              <w:t>n</w:t>
            </w:r>
            <w:r w:rsidRPr="00A3590A">
              <w:rPr>
                <w:sz w:val="20"/>
              </w:rPr>
              <w:t>tin</w:t>
            </w:r>
          </w:p>
        </w:tc>
        <w:tc>
          <w:tcPr>
            <w:tcW w:w="1519" w:type="dxa"/>
          </w:tcPr>
          <w:p w:rsidR="00B8740B" w:rsidRPr="00A3590A" w:rsidP="004F1412" w14:paraId="03FDAB75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&lt; 1%</w:t>
            </w:r>
          </w:p>
        </w:tc>
        <w:tc>
          <w:tcPr>
            <w:tcW w:w="7229" w:type="dxa"/>
          </w:tcPr>
          <w:p w:rsidR="00B8740B" w:rsidRPr="00A3590A" w:rsidP="004F1412" w14:paraId="35A74999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-</w:t>
            </w:r>
          </w:p>
        </w:tc>
      </w:tr>
      <w:tr w14:paraId="534F4AF9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5CDB5450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Lamotrigin</w:t>
            </w:r>
          </w:p>
        </w:tc>
        <w:tc>
          <w:tcPr>
            <w:tcW w:w="1519" w:type="dxa"/>
          </w:tcPr>
          <w:p w:rsidR="00B8740B" w:rsidRPr="00A3590A" w:rsidP="004F1412" w14:paraId="653E6B89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2-4%</w:t>
            </w:r>
          </w:p>
        </w:tc>
        <w:tc>
          <w:tcPr>
            <w:tcW w:w="7229" w:type="dxa"/>
          </w:tcPr>
          <w:p w:rsidR="00B8740B" w:rsidRPr="00A3590A" w:rsidP="004F1412" w14:paraId="26B044E2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Leppe-kjeve-ganespalte. Doseavhengig, liten risiko &lt; 300 mg/døgn</w:t>
            </w:r>
          </w:p>
        </w:tc>
      </w:tr>
      <w:tr w14:paraId="42C73B18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23FC0721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Levetiracetam</w:t>
            </w:r>
          </w:p>
        </w:tc>
        <w:tc>
          <w:tcPr>
            <w:tcW w:w="1519" w:type="dxa"/>
          </w:tcPr>
          <w:p w:rsidR="00B8740B" w:rsidRPr="00A3590A" w:rsidP="004F1412" w14:paraId="16AA3A35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1-3%</w:t>
            </w:r>
          </w:p>
        </w:tc>
        <w:tc>
          <w:tcPr>
            <w:tcW w:w="7229" w:type="dxa"/>
          </w:tcPr>
          <w:p w:rsidR="00B8740B" w:rsidRPr="00A3590A" w:rsidP="004F1412" w14:paraId="1B87C618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-</w:t>
            </w:r>
          </w:p>
        </w:tc>
      </w:tr>
      <w:tr w14:paraId="2C31E7E5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7032E048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Klonazepam</w:t>
            </w:r>
          </w:p>
        </w:tc>
        <w:tc>
          <w:tcPr>
            <w:tcW w:w="1519" w:type="dxa"/>
          </w:tcPr>
          <w:p w:rsidR="00B8740B" w:rsidRPr="00A3590A" w:rsidP="004F1412" w14:paraId="6AD31ED1" w14:textId="77777777">
            <w:pPr>
              <w:rPr>
                <w:sz w:val="20"/>
              </w:rPr>
            </w:pPr>
            <w:r>
              <w:rPr>
                <w:rFonts w:cs="Calibri"/>
                <w:sz w:val="20"/>
              </w:rPr>
              <w:t xml:space="preserve">  ̴</w:t>
            </w:r>
            <w:r w:rsidRPr="00A3590A">
              <w:rPr>
                <w:sz w:val="20"/>
              </w:rPr>
              <w:t xml:space="preserve"> 3%</w:t>
            </w:r>
          </w:p>
        </w:tc>
        <w:tc>
          <w:tcPr>
            <w:tcW w:w="7229" w:type="dxa"/>
          </w:tcPr>
          <w:p w:rsidR="00B8740B" w:rsidRPr="00A3590A" w:rsidP="004F1412" w14:paraId="40523116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-</w:t>
            </w:r>
          </w:p>
        </w:tc>
      </w:tr>
      <w:tr w14:paraId="43346DB8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1199F9EF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Karbamazepin</w:t>
            </w:r>
          </w:p>
        </w:tc>
        <w:tc>
          <w:tcPr>
            <w:tcW w:w="1519" w:type="dxa"/>
          </w:tcPr>
          <w:p w:rsidR="00B8740B" w:rsidRPr="00A3590A" w:rsidP="004F1412" w14:paraId="5B161313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1-6 %</w:t>
            </w:r>
          </w:p>
        </w:tc>
        <w:tc>
          <w:tcPr>
            <w:tcW w:w="7229" w:type="dxa"/>
          </w:tcPr>
          <w:p w:rsidR="00B8740B" w:rsidRPr="00A3590A" w:rsidP="004F1412" w14:paraId="78E6A427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 xml:space="preserve">Nevralrørsdefekter, hjertemisdannelser, </w:t>
            </w:r>
            <w:r w:rsidRPr="00A3590A">
              <w:rPr>
                <w:sz w:val="20"/>
              </w:rPr>
              <w:t>kraniofaciale</w:t>
            </w:r>
            <w:r w:rsidRPr="00A3590A">
              <w:rPr>
                <w:sz w:val="20"/>
              </w:rPr>
              <w:t xml:space="preserve"> misdannelser, hypospadi</w:t>
            </w:r>
          </w:p>
        </w:tc>
      </w:tr>
      <w:tr w14:paraId="33B6761A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4D6207EE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Okskarbazepin</w:t>
            </w:r>
          </w:p>
        </w:tc>
        <w:tc>
          <w:tcPr>
            <w:tcW w:w="1519" w:type="dxa"/>
          </w:tcPr>
          <w:p w:rsidR="00B8740B" w:rsidRPr="00A3590A" w:rsidP="004F1412" w14:paraId="44D7185E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2-4 %</w:t>
            </w:r>
          </w:p>
        </w:tc>
        <w:tc>
          <w:tcPr>
            <w:tcW w:w="7229" w:type="dxa"/>
          </w:tcPr>
          <w:p w:rsidR="00B8740B" w:rsidRPr="00A3590A" w:rsidP="004F1412" w14:paraId="0ACE9F00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Nevralrørsdefekter</w:t>
            </w:r>
          </w:p>
        </w:tc>
      </w:tr>
      <w:tr w14:paraId="1D11E975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79DD98A3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Fenytoin</w:t>
            </w:r>
          </w:p>
        </w:tc>
        <w:tc>
          <w:tcPr>
            <w:tcW w:w="1519" w:type="dxa"/>
          </w:tcPr>
          <w:p w:rsidR="00B8740B" w:rsidRPr="00A3590A" w:rsidP="004F1412" w14:paraId="45359336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3-10 %</w:t>
            </w:r>
          </w:p>
        </w:tc>
        <w:tc>
          <w:tcPr>
            <w:tcW w:w="7229" w:type="dxa"/>
          </w:tcPr>
          <w:p w:rsidR="00B8740B" w:rsidRPr="00A3590A" w:rsidP="004F1412" w14:paraId="335D4AF8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 xml:space="preserve">Føtale </w:t>
            </w:r>
            <w:r w:rsidRPr="00A3590A">
              <w:rPr>
                <w:sz w:val="20"/>
              </w:rPr>
              <w:t>hydantion</w:t>
            </w:r>
            <w:r w:rsidRPr="00A3590A">
              <w:rPr>
                <w:sz w:val="20"/>
              </w:rPr>
              <w:t xml:space="preserve"> syndrom (misdannelser i ansikt, fingre, vekst, </w:t>
            </w:r>
            <w:r w:rsidRPr="00A3590A">
              <w:rPr>
                <w:sz w:val="20"/>
              </w:rPr>
              <w:t>nevroutvikling</w:t>
            </w:r>
            <w:r w:rsidRPr="00A3590A">
              <w:rPr>
                <w:sz w:val="20"/>
              </w:rPr>
              <w:t>), hjertemisdannelser, leppe-kjeve-ganespalte, urogenitale</w:t>
            </w:r>
          </w:p>
        </w:tc>
      </w:tr>
      <w:tr w14:paraId="2E019FDF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5335ED6B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Fenobarbital</w:t>
            </w:r>
          </w:p>
        </w:tc>
        <w:tc>
          <w:tcPr>
            <w:tcW w:w="1519" w:type="dxa"/>
          </w:tcPr>
          <w:p w:rsidR="00B8740B" w:rsidRPr="00A3590A" w:rsidP="004F1412" w14:paraId="56E1F963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6-10 %</w:t>
            </w:r>
          </w:p>
        </w:tc>
        <w:tc>
          <w:tcPr>
            <w:tcW w:w="7229" w:type="dxa"/>
          </w:tcPr>
          <w:p w:rsidR="00B8740B" w:rsidRPr="00A3590A" w:rsidP="004F1412" w14:paraId="36292ACD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 xml:space="preserve">Hjertemisdannelser, leppe-kjeve-ganespalte. </w:t>
            </w:r>
          </w:p>
          <w:p w:rsidR="00B8740B" w:rsidRPr="00A3590A" w:rsidP="004F1412" w14:paraId="645BBA29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 xml:space="preserve">Doseavhengig; økt risiko </w:t>
            </w:r>
            <w:r w:rsidRPr="00A3590A">
              <w:rPr>
                <w:rFonts w:cs="Calibri"/>
                <w:sz w:val="20"/>
              </w:rPr>
              <w:t>≥</w:t>
            </w:r>
            <w:r>
              <w:rPr>
                <w:rFonts w:cs="Calibri"/>
                <w:sz w:val="20"/>
              </w:rPr>
              <w:t xml:space="preserve"> </w:t>
            </w:r>
            <w:r w:rsidRPr="00A3590A">
              <w:rPr>
                <w:sz w:val="20"/>
              </w:rPr>
              <w:t>150 mg/døgn</w:t>
            </w:r>
          </w:p>
        </w:tc>
      </w:tr>
      <w:tr w14:paraId="21410CB9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0F5EF3D9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Topiramat</w:t>
            </w:r>
          </w:p>
        </w:tc>
        <w:tc>
          <w:tcPr>
            <w:tcW w:w="1519" w:type="dxa"/>
          </w:tcPr>
          <w:p w:rsidR="00B8740B" w:rsidRPr="00A3590A" w:rsidP="004F1412" w14:paraId="48BD8A66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4-8 %</w:t>
            </w:r>
          </w:p>
        </w:tc>
        <w:tc>
          <w:tcPr>
            <w:tcW w:w="7229" w:type="dxa"/>
          </w:tcPr>
          <w:p w:rsidR="00B8740B" w:rsidRPr="00A3590A" w:rsidP="004F1412" w14:paraId="2A73383C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Redusert fostervekst, leppe-kjeve-ganespalte</w:t>
            </w:r>
          </w:p>
        </w:tc>
      </w:tr>
      <w:tr w14:paraId="7DCEBDD1" w14:textId="77777777" w:rsidTr="004F1412">
        <w:tblPrEx>
          <w:tblW w:w="10343" w:type="dxa"/>
          <w:tblLook w:val="04A0"/>
        </w:tblPrEx>
        <w:tc>
          <w:tcPr>
            <w:tcW w:w="1595" w:type="dxa"/>
          </w:tcPr>
          <w:p w:rsidR="00B8740B" w:rsidRPr="00A3590A" w:rsidP="004F1412" w14:paraId="5791CE27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Valproat</w:t>
            </w:r>
          </w:p>
        </w:tc>
        <w:tc>
          <w:tcPr>
            <w:tcW w:w="1519" w:type="dxa"/>
          </w:tcPr>
          <w:p w:rsidR="00B8740B" w:rsidRPr="00A3590A" w:rsidP="004F1412" w14:paraId="0F9E89CF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>7-10 %</w:t>
            </w:r>
          </w:p>
        </w:tc>
        <w:tc>
          <w:tcPr>
            <w:tcW w:w="7229" w:type="dxa"/>
          </w:tcPr>
          <w:p w:rsidR="00B8740B" w:rsidRPr="00A3590A" w:rsidP="004F1412" w14:paraId="5019834B" w14:textId="77777777">
            <w:pPr>
              <w:rPr>
                <w:sz w:val="20"/>
              </w:rPr>
            </w:pPr>
            <w:r w:rsidRPr="00A3590A">
              <w:rPr>
                <w:sz w:val="20"/>
              </w:rPr>
              <w:t xml:space="preserve">Nevralrørsdefekter, hypospadi, hjertemisdannelser, leppe-kjeve-ganespalte, </w:t>
            </w:r>
            <w:r w:rsidRPr="00A3590A">
              <w:rPr>
                <w:sz w:val="20"/>
              </w:rPr>
              <w:t>nevroutviklingsforsdtyrrelser</w:t>
            </w:r>
            <w:r w:rsidRPr="00A3590A">
              <w:rPr>
                <w:sz w:val="20"/>
              </w:rPr>
              <w:t xml:space="preserve">. Doseavhengig; økt risiko </w:t>
            </w:r>
            <w:r w:rsidRPr="00A3590A">
              <w:rPr>
                <w:rFonts w:cs="Calibri"/>
                <w:sz w:val="20"/>
              </w:rPr>
              <w:t>≥ 700 mg/døgn</w:t>
            </w:r>
          </w:p>
        </w:tc>
      </w:tr>
    </w:tbl>
    <w:p w:rsidR="00B8740B" w:rsidRPr="00643DBF" w:rsidP="00B8740B" w14:paraId="7F54F881" w14:textId="77777777">
      <w:pPr>
        <w:rPr>
          <w:sz w:val="16"/>
          <w:szCs w:val="16"/>
        </w:rPr>
      </w:pPr>
      <w:r w:rsidRPr="00643DBF">
        <w:rPr>
          <w:sz w:val="16"/>
          <w:szCs w:val="16"/>
        </w:rPr>
        <w:t>Kilde: Veileder i fødselshjelp, NGF</w:t>
      </w:r>
    </w:p>
    <w:p w:rsidR="00B8740B" w:rsidP="00B8740B" w14:paraId="79CE572F" w14:textId="77777777">
      <w:pPr>
        <w:rPr>
          <w:bCs/>
        </w:rPr>
      </w:pPr>
    </w:p>
    <w:p w:rsidR="00B8740B" w:rsidP="00B8740B" w14:paraId="7BF39CAF" w14:textId="77777777">
      <w:pPr>
        <w:rPr>
          <w:bCs/>
        </w:rPr>
      </w:pPr>
    </w:p>
    <w:p w:rsidR="00B8740B" w:rsidRPr="00251570" w:rsidP="00B8740B" w14:paraId="4BCED418" w14:textId="77777777">
      <w:pPr>
        <w:rPr>
          <w:bCs/>
          <w:u w:val="single"/>
        </w:rPr>
      </w:pPr>
      <w:r w:rsidRPr="00251570">
        <w:rPr>
          <w:bCs/>
          <w:u w:val="single"/>
        </w:rPr>
        <w:t>Oppfølging under svangerskapet</w:t>
      </w:r>
    </w:p>
    <w:p w:rsidR="00B8740B" w:rsidRPr="00AA7DB1" w:rsidP="00B8740B" w14:paraId="58AB738F" w14:textId="77777777">
      <w:pPr>
        <w:numPr>
          <w:ilvl w:val="0"/>
          <w:numId w:val="29"/>
        </w:numPr>
      </w:pPr>
      <w:r w:rsidRPr="00AA7DB1">
        <w:t>Kvinner med epilepsi følge</w:t>
      </w:r>
      <w:r>
        <w:t>r</w:t>
      </w:r>
      <w:r w:rsidRPr="00AA7DB1">
        <w:t xml:space="preserve"> vanlige svangerskapskontroller hos fastlege/ jordmor</w:t>
      </w:r>
      <w:r>
        <w:t xml:space="preserve"> i tillegg til oppfølging i spesialisthelsetjenesten. </w:t>
      </w:r>
    </w:p>
    <w:p w:rsidR="00B8740B" w:rsidRPr="00AA7DB1" w:rsidP="00B8740B" w14:paraId="447D22CB" w14:textId="77777777">
      <w:pPr>
        <w:numPr>
          <w:ilvl w:val="0"/>
          <w:numId w:val="29"/>
        </w:numPr>
      </w:pPr>
      <w:r w:rsidRPr="00AA7DB1">
        <w:t xml:space="preserve">Henvisning til </w:t>
      </w:r>
      <w:r>
        <w:t xml:space="preserve">føde </w:t>
      </w:r>
      <w:r w:rsidRPr="00AA7DB1">
        <w:t>poliklinikk</w:t>
      </w:r>
      <w:r>
        <w:t xml:space="preserve">en </w:t>
      </w:r>
      <w:r w:rsidRPr="00AA7DB1">
        <w:t xml:space="preserve">tidlig i svangerskapet for </w:t>
      </w:r>
      <w:r>
        <w:t xml:space="preserve">ultralyd samt </w:t>
      </w:r>
      <w:r w:rsidRPr="00AA7DB1">
        <w:t xml:space="preserve">planlegging av </w:t>
      </w:r>
      <w:r>
        <w:t>videre</w:t>
      </w:r>
      <w:r w:rsidRPr="00AA7DB1">
        <w:t xml:space="preserve"> </w:t>
      </w:r>
      <w:r>
        <w:t>oppfølging.</w:t>
      </w:r>
    </w:p>
    <w:p w:rsidR="00B8740B" w:rsidRPr="00AA7DB1" w:rsidP="00B8740B" w14:paraId="0FACAA87" w14:textId="77777777">
      <w:pPr>
        <w:numPr>
          <w:ilvl w:val="0"/>
          <w:numId w:val="29"/>
        </w:numPr>
      </w:pPr>
      <w:r w:rsidRPr="00AA7DB1">
        <w:t xml:space="preserve">Henvisning til nevrolog tidlig i svangerskapet. Justering av </w:t>
      </w:r>
      <w:r>
        <w:t>antiepileptika</w:t>
      </w:r>
      <w:r>
        <w:t xml:space="preserve">. </w:t>
      </w:r>
      <w:r w:rsidRPr="00AA7DB1">
        <w:t>Månedlige kontroller av serumn</w:t>
      </w:r>
      <w:r>
        <w:t>ivå</w:t>
      </w:r>
      <w:r w:rsidRPr="00AA7DB1">
        <w:t>. Kontrollere bruk av folsyretilskudd.</w:t>
      </w:r>
    </w:p>
    <w:p w:rsidR="00B8740B" w:rsidRPr="00AA7DB1" w:rsidP="00B8740B" w14:paraId="6E16BC48" w14:textId="77777777">
      <w:pPr>
        <w:numPr>
          <w:ilvl w:val="0"/>
          <w:numId w:val="29"/>
        </w:numPr>
      </w:pPr>
      <w:r>
        <w:t xml:space="preserve">Henvisning til </w:t>
      </w:r>
      <w:r>
        <w:t>f</w:t>
      </w:r>
      <w:r w:rsidRPr="00AA7DB1">
        <w:t>ostermedisinsk</w:t>
      </w:r>
      <w:r w:rsidRPr="00AA7DB1">
        <w:t xml:space="preserve"> undersøkelse</w:t>
      </w:r>
      <w:r>
        <w:t xml:space="preserve"> i uke 13-15</w:t>
      </w:r>
      <w:r w:rsidRPr="00AA7DB1">
        <w:t xml:space="preserve"> for kvinner som bruker</w:t>
      </w:r>
      <w:r w:rsidRPr="00930374">
        <w:t xml:space="preserve"> annen </w:t>
      </w:r>
      <w:r w:rsidRPr="00930374">
        <w:t>antiepileptika</w:t>
      </w:r>
      <w:r w:rsidRPr="00930374">
        <w:t xml:space="preserve"> enn </w:t>
      </w:r>
      <w:r w:rsidRPr="00930374">
        <w:t>lamotrigin</w:t>
      </w:r>
      <w:r w:rsidRPr="00930374">
        <w:t xml:space="preserve"> og </w:t>
      </w:r>
      <w:r w:rsidRPr="00930374">
        <w:t>levetiracetam</w:t>
      </w:r>
      <w:r>
        <w:t xml:space="preserve"> (eks</w:t>
      </w:r>
      <w:r w:rsidRPr="00AA7DB1">
        <w:t xml:space="preserve"> </w:t>
      </w:r>
      <w:r w:rsidRPr="00AA7DB1">
        <w:t>valproat</w:t>
      </w:r>
      <w:r>
        <w:t>)</w:t>
      </w:r>
      <w:r w:rsidRPr="00AA7DB1">
        <w:t xml:space="preserve"> eller</w:t>
      </w:r>
      <w:r>
        <w:t xml:space="preserve"> ved</w:t>
      </w:r>
      <w:r w:rsidRPr="00AA7DB1">
        <w:t xml:space="preserve"> </w:t>
      </w:r>
      <w:r w:rsidRPr="00AA7DB1">
        <w:t>polyfarmasi</w:t>
      </w:r>
      <w:r>
        <w:t xml:space="preserve">. </w:t>
      </w:r>
      <w:r w:rsidRPr="008F4D3F">
        <w:t xml:space="preserve"> </w:t>
      </w:r>
    </w:p>
    <w:p w:rsidR="00B8740B" w:rsidRPr="00AA7DB1" w:rsidP="00B8740B" w14:paraId="7941FBAE" w14:textId="77777777">
      <w:pPr>
        <w:numPr>
          <w:ilvl w:val="0"/>
          <w:numId w:val="29"/>
        </w:numPr>
      </w:pPr>
      <w:r w:rsidRPr="00AA7DB1">
        <w:t xml:space="preserve">Rutine ultralyd i uke 17-19. For de fleste kvinner med epilepsi, både med og uten </w:t>
      </w:r>
      <w:r>
        <w:t>antiepileptika</w:t>
      </w:r>
      <w:r w:rsidRPr="00AA7DB1">
        <w:t xml:space="preserve">, vil denne ultralydundersøkelsen være nok for å avdekke evt. </w:t>
      </w:r>
      <w:r w:rsidRPr="00AA7DB1">
        <w:t>malformasjoner</w:t>
      </w:r>
      <w:r>
        <w:t xml:space="preserve">. </w:t>
      </w:r>
      <w:r w:rsidRPr="00AA7DB1">
        <w:t> </w:t>
      </w:r>
    </w:p>
    <w:p w:rsidR="00B8740B" w:rsidRPr="00AA7DB1" w:rsidP="00B8740B" w14:paraId="73614735" w14:textId="77777777">
      <w:pPr>
        <w:numPr>
          <w:ilvl w:val="0"/>
          <w:numId w:val="29"/>
        </w:numPr>
      </w:pPr>
      <w:r>
        <w:t xml:space="preserve">Kontroll føde pol i uke 24, 32 og 36 for fostertilvekst. </w:t>
      </w:r>
    </w:p>
    <w:p w:rsidR="00B8740B" w:rsidRPr="00AA7DB1" w:rsidP="00B8740B" w14:paraId="75F5A5FA" w14:textId="77777777">
      <w:pPr>
        <w:numPr>
          <w:ilvl w:val="0"/>
          <w:numId w:val="29"/>
        </w:numPr>
      </w:pPr>
      <w:r w:rsidRPr="00AA7DB1">
        <w:t>Ved kontrollen</w:t>
      </w:r>
      <w:r>
        <w:t xml:space="preserve"> i uke 32 bør forløsningen planlegges.</w:t>
      </w:r>
    </w:p>
    <w:p w:rsidR="00B8740B" w:rsidRPr="00AA7DB1" w:rsidP="00B8740B" w14:paraId="6BED4D0C" w14:textId="77777777">
      <w:pPr>
        <w:numPr>
          <w:ilvl w:val="0"/>
          <w:numId w:val="29"/>
        </w:numPr>
      </w:pPr>
      <w:r w:rsidRPr="00AA7DB1">
        <w:t xml:space="preserve">Anfall i svangerskap og fødsel kan behandles med 10 mg </w:t>
      </w:r>
      <w:r w:rsidRPr="00AA7DB1">
        <w:t>diazepam</w:t>
      </w:r>
      <w:r w:rsidRPr="00AA7DB1">
        <w:t xml:space="preserve"> eller </w:t>
      </w:r>
      <w:r w:rsidRPr="00AA7DB1">
        <w:t>midazolam</w:t>
      </w:r>
      <w:r w:rsidRPr="00AA7DB1">
        <w:t>.</w:t>
      </w:r>
      <w:r w:rsidRPr="00AA7DB1">
        <w:br/>
        <w:t> </w:t>
      </w:r>
      <w:r w:rsidRPr="00AA7DB1">
        <w:br/>
        <w:t> </w:t>
      </w:r>
    </w:p>
    <w:p w:rsidR="00B8740B" w:rsidRPr="00D06661" w:rsidP="00B8740B" w14:paraId="09B1AE7D" w14:textId="77777777">
      <w:pPr>
        <w:rPr>
          <w:bCs/>
          <w:u w:val="single"/>
        </w:rPr>
      </w:pPr>
      <w:r w:rsidRPr="00D06661">
        <w:rPr>
          <w:bCs/>
          <w:u w:val="single"/>
        </w:rPr>
        <w:t>Fødsel</w:t>
      </w:r>
    </w:p>
    <w:p w:rsidR="00B8740B" w:rsidRPr="00AA7DB1" w:rsidP="00B8740B" w14:paraId="007F9EE5" w14:textId="77777777">
      <w:pPr>
        <w:numPr>
          <w:ilvl w:val="0"/>
          <w:numId w:val="30"/>
        </w:numPr>
      </w:pPr>
      <w:r w:rsidRPr="00AA7DB1">
        <w:t>De fleste kvinner med epilepsi kan føde vaginalt. Epilepsi i seg selv er ikke indikasjon for keisersnitt. Hyppige anfall mot slutten av svangerskapet eller økt risiko for tilbakefall hører med i vurderingen</w:t>
      </w:r>
      <w:r>
        <w:t xml:space="preserve"> av forløsningsmetode, særlig dersom </w:t>
      </w:r>
      <w:r w:rsidRPr="00AA7DB1">
        <w:t>anfall under fødsel kan kompromittere samarbeid og kommunikasjon.</w:t>
      </w:r>
    </w:p>
    <w:p w:rsidR="00B8740B" w:rsidRPr="00AA7DB1" w:rsidP="00B8740B" w14:paraId="3AFF747C" w14:textId="77777777">
      <w:pPr>
        <w:numPr>
          <w:ilvl w:val="0"/>
          <w:numId w:val="30"/>
        </w:numPr>
      </w:pPr>
      <w:r>
        <w:t>Indikasjon</w:t>
      </w:r>
      <w:r w:rsidRPr="00AA7DB1">
        <w:t xml:space="preserve"> for induksjon av fødsel er som for andre gravide. Stress og søvnmangel mot slutten av svangerskapet kan være anfallsfremkallende, og </w:t>
      </w:r>
      <w:r>
        <w:t xml:space="preserve">vurderes </w:t>
      </w:r>
      <w:r w:rsidRPr="00AA7DB1">
        <w:t xml:space="preserve">individuell </w:t>
      </w:r>
      <w:r>
        <w:t xml:space="preserve">ved </w:t>
      </w:r>
      <w:r w:rsidRPr="00AA7DB1">
        <w:t>vurdering av induksjon.</w:t>
      </w:r>
    </w:p>
    <w:p w:rsidR="00B8740B" w:rsidP="00B8740B" w14:paraId="752482D9" w14:textId="77777777">
      <w:pPr>
        <w:numPr>
          <w:ilvl w:val="0"/>
          <w:numId w:val="30"/>
        </w:numPr>
      </w:pPr>
      <w:r>
        <w:t>A</w:t>
      </w:r>
      <w:r w:rsidRPr="00AA7DB1">
        <w:t>ntiepileptika</w:t>
      </w:r>
      <w:r w:rsidRPr="00AA7DB1">
        <w:t xml:space="preserve"> </w:t>
      </w:r>
      <w:r>
        <w:t xml:space="preserve">tas til vanlige tider </w:t>
      </w:r>
      <w:r w:rsidRPr="00AA7DB1">
        <w:t>under fødsel</w:t>
      </w:r>
      <w:r>
        <w:t xml:space="preserve">. </w:t>
      </w:r>
      <w:r w:rsidRPr="00AA7DB1">
        <w:t xml:space="preserve">Kvinnene oppfordres til å ta med legemidlene </w:t>
      </w:r>
      <w:r>
        <w:t>sine</w:t>
      </w:r>
      <w:r w:rsidRPr="00AA7DB1">
        <w:t xml:space="preserve"> til fødeavdelingen. </w:t>
      </w:r>
    </w:p>
    <w:p w:rsidR="00B8740B" w:rsidP="00B8740B" w14:paraId="14BCC748" w14:textId="77777777">
      <w:pPr>
        <w:numPr>
          <w:ilvl w:val="0"/>
          <w:numId w:val="30"/>
        </w:numPr>
      </w:pPr>
      <w:r>
        <w:t xml:space="preserve">Intravenøs tilgang. </w:t>
      </w:r>
    </w:p>
    <w:p w:rsidR="00B8740B" w:rsidRPr="00AA7DB1" w:rsidP="00B8740B" w14:paraId="2935BFCB" w14:textId="77777777">
      <w:pPr>
        <w:numPr>
          <w:ilvl w:val="0"/>
          <w:numId w:val="30"/>
        </w:numPr>
      </w:pPr>
      <w:r>
        <w:t>D</w:t>
      </w:r>
      <w:r w:rsidRPr="008F4D3F">
        <w:t>iazepam</w:t>
      </w:r>
      <w:r w:rsidRPr="008F4D3F">
        <w:t>/</w:t>
      </w:r>
      <w:r w:rsidRPr="008F4D3F">
        <w:t>midazolam</w:t>
      </w:r>
      <w:r w:rsidRPr="008F4D3F">
        <w:t xml:space="preserve"> i beredskap </w:t>
      </w:r>
      <w:r>
        <w:t>p</w:t>
      </w:r>
      <w:r w:rsidRPr="00AA7DB1">
        <w:t>å fødestuen</w:t>
      </w:r>
      <w:r>
        <w:t xml:space="preserve">.  </w:t>
      </w:r>
      <w:r w:rsidRPr="00AA7DB1">
        <w:t xml:space="preserve"> </w:t>
      </w:r>
    </w:p>
    <w:p w:rsidR="00B8740B" w:rsidRPr="00AA7DB1" w:rsidP="00B8740B" w14:paraId="0E0B8FCA" w14:textId="77777777">
      <w:pPr>
        <w:numPr>
          <w:ilvl w:val="0"/>
          <w:numId w:val="30"/>
        </w:numPr>
      </w:pPr>
      <w:r w:rsidRPr="00AA7DB1">
        <w:t>Redusere stressfaktorer under fødselen da dette kan redusere terskel for anfall (lite søvn, smerte, dehydrering, hypoglykemi, hyperventilasjon, lang trykketid). Svært langvarige fødselsforløp bør unngås.</w:t>
      </w:r>
    </w:p>
    <w:p w:rsidR="00B8740B" w:rsidRPr="00AA7DB1" w:rsidP="00B8740B" w14:paraId="6C97DEF8" w14:textId="77777777">
      <w:pPr>
        <w:numPr>
          <w:ilvl w:val="0"/>
          <w:numId w:val="30"/>
        </w:numPr>
      </w:pPr>
      <w:r w:rsidRPr="00AA7DB1">
        <w:t xml:space="preserve">Vanlige former for obstetrisk smertelindring kan anvendes. Epidural anestesi kan minske anfallsrisikoen ved å redusere smerter og tilrettelegge for hvile. </w:t>
      </w:r>
    </w:p>
    <w:p w:rsidR="00B8740B" w:rsidRPr="00AA7DB1" w:rsidP="00B8740B" w14:paraId="1951BED7" w14:textId="77777777">
      <w:pPr>
        <w:numPr>
          <w:ilvl w:val="0"/>
          <w:numId w:val="30"/>
        </w:numPr>
      </w:pPr>
      <w:r w:rsidRPr="00AA7DB1">
        <w:t>Oksytocin kan brukes etter vanlige retningslinjer.</w:t>
      </w:r>
    </w:p>
    <w:p w:rsidR="00B8740B" w:rsidRPr="00AA7DB1" w:rsidP="00B8740B" w14:paraId="70130390" w14:textId="77777777">
      <w:pPr>
        <w:numPr>
          <w:ilvl w:val="0"/>
          <w:numId w:val="30"/>
        </w:numPr>
      </w:pPr>
      <w:r w:rsidRPr="00AA7DB1">
        <w:t>F</w:t>
      </w:r>
      <w:r>
        <w:t xml:space="preserve">osteret overvåkes med CTG og STAN. </w:t>
      </w:r>
    </w:p>
    <w:p w:rsidR="00B8740B" w:rsidRPr="00AA7DB1" w:rsidP="00B8740B" w14:paraId="247C93C4" w14:textId="77777777">
      <w:pPr>
        <w:numPr>
          <w:ilvl w:val="0"/>
          <w:numId w:val="30"/>
        </w:numPr>
      </w:pPr>
      <w:r>
        <w:t>V</w:t>
      </w:r>
      <w:r w:rsidRPr="00AA7DB1">
        <w:t>aginal instrumentell forløsning vurderes tidligere enn hos andre fødende for å begrense trykketiden.</w:t>
      </w:r>
    </w:p>
    <w:p w:rsidR="00B8740B" w:rsidRPr="00AA7DB1" w:rsidP="00B8740B" w14:paraId="5A3D81C5" w14:textId="77777777">
      <w:pPr>
        <w:numPr>
          <w:ilvl w:val="0"/>
          <w:numId w:val="30"/>
        </w:numPr>
      </w:pPr>
      <w:r w:rsidRPr="00AA7DB1">
        <w:t xml:space="preserve">Det er lett økt risiko for postpartum-blødninger. </w:t>
      </w:r>
    </w:p>
    <w:p w:rsidR="00B8740B" w:rsidP="00B8740B" w14:paraId="04A84BEB" w14:textId="77777777">
      <w:pPr>
        <w:numPr>
          <w:ilvl w:val="0"/>
          <w:numId w:val="30"/>
        </w:numPr>
      </w:pPr>
      <w:r w:rsidRPr="00AA7DB1">
        <w:t xml:space="preserve">Rutinemessig K-vitamin til nyfødt da enzyminduserende </w:t>
      </w:r>
      <w:r w:rsidRPr="00AA7DB1">
        <w:t>antiepilepti</w:t>
      </w:r>
      <w:r>
        <w:t>ka</w:t>
      </w:r>
      <w:r>
        <w:t xml:space="preserve"> kan redusere nivå hos foster.</w:t>
      </w:r>
      <w:r w:rsidRPr="00AA7DB1">
        <w:br/>
      </w:r>
    </w:p>
    <w:p w:rsidR="00B8740B" w:rsidP="00B8740B" w14:paraId="477538AF" w14:textId="77777777">
      <w:pPr>
        <w:ind w:left="720"/>
      </w:pPr>
    </w:p>
    <w:p w:rsidR="00B8740B" w:rsidRPr="00AA7DB1" w:rsidP="00B8740B" w14:paraId="770C61E5" w14:textId="77777777">
      <w:pPr>
        <w:ind w:left="720"/>
      </w:pPr>
    </w:p>
    <w:p w:rsidR="00B8740B" w:rsidRPr="007D6ED6" w:rsidP="00B8740B" w14:paraId="3114839B" w14:textId="77777777">
      <w:pPr>
        <w:rPr>
          <w:bCs/>
          <w:u w:val="single"/>
        </w:rPr>
      </w:pPr>
      <w:r w:rsidRPr="007D6ED6">
        <w:rPr>
          <w:bCs/>
          <w:u w:val="single"/>
        </w:rPr>
        <w:t>Barselperioden</w:t>
      </w:r>
    </w:p>
    <w:p w:rsidR="00B8740B" w:rsidRPr="00AA7DB1" w:rsidP="00B8740B" w14:paraId="7B099D0F" w14:textId="77777777">
      <w:pPr>
        <w:numPr>
          <w:ilvl w:val="0"/>
          <w:numId w:val="31"/>
        </w:numPr>
      </w:pPr>
      <w:r>
        <w:t>K</w:t>
      </w:r>
      <w:r w:rsidRPr="00AA7DB1">
        <w:t xml:space="preserve">vinnen fortsetter med </w:t>
      </w:r>
      <w:r w:rsidRPr="00AA7DB1">
        <w:t>antiepileptika</w:t>
      </w:r>
      <w:r w:rsidRPr="00AA7DB1">
        <w:t xml:space="preserve"> </w:t>
      </w:r>
      <w:r>
        <w:t>i</w:t>
      </w:r>
      <w:r w:rsidRPr="00AA7DB1">
        <w:t xml:space="preserve"> vanlig dosering men det bør foreligge plan for nedtrapping. </w:t>
      </w:r>
    </w:p>
    <w:p w:rsidR="00B8740B" w:rsidRPr="00AA7DB1" w:rsidP="00B8740B" w14:paraId="3ADB3ACA" w14:textId="77777777">
      <w:pPr>
        <w:numPr>
          <w:ilvl w:val="0"/>
          <w:numId w:val="31"/>
        </w:numPr>
      </w:pPr>
      <w:r w:rsidRPr="00AA7DB1">
        <w:t>Barnelegeundersøkelse etter vanlige retningslinjer, oppmerksomhet rettet mot misdannelser.</w:t>
      </w:r>
    </w:p>
    <w:p w:rsidR="00B8740B" w:rsidP="00B8740B" w14:paraId="076B386B" w14:textId="77777777">
      <w:pPr>
        <w:numPr>
          <w:ilvl w:val="0"/>
          <w:numId w:val="31"/>
        </w:numPr>
      </w:pPr>
      <w:r>
        <w:t xml:space="preserve">Mor bør få nok </w:t>
      </w:r>
      <w:r w:rsidRPr="00AA7DB1">
        <w:t xml:space="preserve">hvile og søvn for å unngå anfall. </w:t>
      </w:r>
    </w:p>
    <w:p w:rsidR="00B8740B" w:rsidRPr="00045144" w:rsidP="00B8740B" w14:paraId="37601CF7" w14:textId="77777777">
      <w:pPr>
        <w:numPr>
          <w:ilvl w:val="0"/>
          <w:numId w:val="31"/>
        </w:numPr>
      </w:pPr>
      <w:r w:rsidRPr="00045144">
        <w:t xml:space="preserve">Kvinnen rådes til å tenke sikkerhet </w:t>
      </w:r>
      <w:r w:rsidRPr="00045144">
        <w:t>m.t.p</w:t>
      </w:r>
      <w:r w:rsidRPr="00045144">
        <w:t>. bæring, mating og bading av barnet.</w:t>
      </w:r>
    </w:p>
    <w:p w:rsidR="00B8740B" w:rsidRPr="00AA7DB1" w:rsidP="00B8740B" w14:paraId="7D43FD21" w14:textId="77777777">
      <w:pPr>
        <w:ind w:left="720"/>
      </w:pPr>
      <w:r>
        <w:t>Aktuelle tiltak kan være amming midt i dobbeltseng</w:t>
      </w:r>
      <w:r w:rsidRPr="00AA7DB1">
        <w:t xml:space="preserve"> eller unngå bading alene.</w:t>
      </w:r>
    </w:p>
    <w:p w:rsidR="00B8740B" w:rsidP="00B8740B" w14:paraId="3452CD2E" w14:textId="77777777">
      <w:pPr>
        <w:numPr>
          <w:ilvl w:val="0"/>
          <w:numId w:val="31"/>
        </w:numPr>
      </w:pPr>
      <w:r w:rsidRPr="00AA7DB1">
        <w:t>Kvinner med epilepsi har økt fo</w:t>
      </w:r>
      <w:r>
        <w:t>rekomst av postpartum depresjon</w:t>
      </w:r>
      <w:r w:rsidRPr="00AA7DB1">
        <w:t>.</w:t>
      </w:r>
      <w:r>
        <w:t xml:space="preserve">  </w:t>
      </w:r>
      <w:r w:rsidRPr="00AA7DB1">
        <w:t> </w:t>
      </w:r>
    </w:p>
    <w:p w:rsidR="00B8740B" w:rsidP="00B8740B" w14:paraId="679630A8" w14:textId="77777777">
      <w:pPr>
        <w:numPr>
          <w:ilvl w:val="0"/>
          <w:numId w:val="31"/>
        </w:numPr>
      </w:pPr>
      <w:r>
        <w:t>Kontroll hos nevrolog 6-8 uker etter forløsning.</w:t>
      </w:r>
    </w:p>
    <w:p w:rsidR="00B8740B" w:rsidP="00B8740B" w14:paraId="07D579CC" w14:textId="77777777">
      <w:pPr>
        <w:numPr>
          <w:ilvl w:val="0"/>
          <w:numId w:val="31"/>
        </w:numPr>
      </w:pPr>
      <w:r>
        <w:t>Øvrige kontroller i primærhelsetjenesten.</w:t>
      </w:r>
    </w:p>
    <w:p w:rsidR="00B8740B" w:rsidRPr="00AA7DB1" w:rsidP="00B8740B" w14:paraId="23AE35A4" w14:textId="77777777"/>
    <w:p w:rsidR="00B8740B" w:rsidRPr="001726CE" w:rsidP="00B8740B" w14:paraId="6D4CA6B2" w14:textId="77777777">
      <w:pPr>
        <w:rPr>
          <w:u w:val="single"/>
        </w:rPr>
      </w:pPr>
      <w:r w:rsidRPr="001726CE">
        <w:rPr>
          <w:bCs/>
          <w:u w:val="single"/>
        </w:rPr>
        <w:t xml:space="preserve">Amming </w:t>
      </w:r>
    </w:p>
    <w:p w:rsidR="00B8740B" w:rsidRPr="00EC416A" w:rsidP="00B8740B" w14:paraId="30A3FDDD" w14:textId="77777777">
      <w:pPr>
        <w:numPr>
          <w:ilvl w:val="0"/>
          <w:numId w:val="27"/>
        </w:numPr>
      </w:pPr>
      <w:r>
        <w:t xml:space="preserve">Kvinner som bruker vanlige </w:t>
      </w:r>
      <w:r>
        <w:t>antiepileptika</w:t>
      </w:r>
      <w:r w:rsidRPr="00EC416A">
        <w:t xml:space="preserve"> som </w:t>
      </w:r>
      <w:r w:rsidRPr="00EC416A">
        <w:t>fenytoin</w:t>
      </w:r>
      <w:r w:rsidRPr="00EC416A">
        <w:t xml:space="preserve">, </w:t>
      </w:r>
      <w:r w:rsidRPr="00EC416A">
        <w:t>karbamazepin</w:t>
      </w:r>
      <w:r w:rsidRPr="00EC416A">
        <w:t xml:space="preserve"> og </w:t>
      </w:r>
      <w:r w:rsidRPr="00EC416A">
        <w:t>valproat</w:t>
      </w:r>
      <w:r w:rsidRPr="00EC416A">
        <w:t xml:space="preserve"> kan</w:t>
      </w:r>
      <w:r>
        <w:t xml:space="preserve"> full</w:t>
      </w:r>
      <w:r w:rsidRPr="00EC416A">
        <w:t>amme.</w:t>
      </w:r>
    </w:p>
    <w:p w:rsidR="00B8740B" w:rsidRPr="00EC416A" w:rsidP="00B8740B" w14:paraId="1E4EE339" w14:textId="77777777">
      <w:pPr>
        <w:numPr>
          <w:ilvl w:val="0"/>
          <w:numId w:val="27"/>
        </w:numPr>
      </w:pPr>
      <w:r w:rsidRPr="00EC416A">
        <w:t>Unntak:</w:t>
      </w:r>
    </w:p>
    <w:p w:rsidR="00B8740B" w:rsidRPr="00EC416A" w:rsidP="00B8740B" w14:paraId="536FD6AD" w14:textId="77777777">
      <w:pPr>
        <w:numPr>
          <w:ilvl w:val="1"/>
          <w:numId w:val="27"/>
        </w:numPr>
      </w:pPr>
      <w:r w:rsidRPr="00EC416A">
        <w:t xml:space="preserve">Høy </w:t>
      </w:r>
      <w:r w:rsidRPr="00EC416A">
        <w:t>fenobarbital</w:t>
      </w:r>
      <w:r w:rsidRPr="00EC416A">
        <w:t xml:space="preserve"> eller </w:t>
      </w:r>
      <w:r w:rsidRPr="00EC416A">
        <w:t>benzodiazepindose</w:t>
      </w:r>
      <w:r w:rsidRPr="00EC416A">
        <w:t xml:space="preserve"> bør diskuteres med barnelege/nevrolog.</w:t>
      </w:r>
    </w:p>
    <w:p w:rsidR="00B8740B" w:rsidRPr="00EC416A" w:rsidP="00B8740B" w14:paraId="048B83F1" w14:textId="77777777">
      <w:pPr>
        <w:numPr>
          <w:ilvl w:val="1"/>
          <w:numId w:val="27"/>
        </w:numPr>
      </w:pPr>
      <w:r w:rsidRPr="00EC416A">
        <w:t>Lamotrigin</w:t>
      </w:r>
      <w:r w:rsidRPr="00EC416A">
        <w:t xml:space="preserve"> (</w:t>
      </w:r>
      <w:r w:rsidRPr="00EC416A">
        <w:t>Lamictal</w:t>
      </w:r>
      <w:r w:rsidRPr="00EC416A">
        <w:rPr>
          <w:vertAlign w:val="superscript"/>
        </w:rPr>
        <w:t>®</w:t>
      </w:r>
      <w:r w:rsidRPr="00EC416A">
        <w:t>) går over til morsmelk, men det er kun unntaksvis meldt om bivirkninger hos brystbarn (</w:t>
      </w:r>
      <w:r w:rsidRPr="00EC416A">
        <w:t>sedasjon</w:t>
      </w:r>
      <w:r w:rsidRPr="00EC416A">
        <w:t>, dårlig sugeevne, utslett).</w:t>
      </w:r>
    </w:p>
    <w:p w:rsidR="00B8740B" w:rsidRPr="00EC416A" w:rsidP="00B8740B" w14:paraId="775166E6" w14:textId="77777777">
      <w:pPr>
        <w:pStyle w:val="ListParagraph"/>
        <w:numPr>
          <w:ilvl w:val="0"/>
          <w:numId w:val="27"/>
        </w:numPr>
      </w:pPr>
      <w:r>
        <w:t>Ved</w:t>
      </w:r>
      <w:r w:rsidRPr="00EC416A">
        <w:t xml:space="preserve"> tegn til </w:t>
      </w:r>
      <w:r w:rsidRPr="00EC416A">
        <w:t>sedasjon</w:t>
      </w:r>
      <w:r w:rsidRPr="00EC416A">
        <w:t xml:space="preserve">, abstinens eller dårlig vektøkning uten annen årsak, bør barnets plasmanivå av </w:t>
      </w:r>
      <w:r w:rsidRPr="00EC416A">
        <w:t>antiepileptika</w:t>
      </w:r>
      <w:r w:rsidRPr="00EC416A">
        <w:t xml:space="preserve"> måles. Amming kan legges til tidspunkter med lavere nivåer i melken. Barnet kan få morsmelkerstatning i tillegg.</w:t>
      </w:r>
    </w:p>
    <w:p w:rsidR="00B8740B" w:rsidP="00B8740B" w14:paraId="08E58829" w14:textId="77777777">
      <w:pPr>
        <w:pStyle w:val="ListParagraph"/>
        <w:numPr>
          <w:ilvl w:val="0"/>
          <w:numId w:val="27"/>
        </w:numPr>
      </w:pPr>
      <w:r w:rsidRPr="00EC416A">
        <w:t xml:space="preserve">Data om </w:t>
      </w:r>
      <w:r w:rsidRPr="00EC416A">
        <w:t>felbamat</w:t>
      </w:r>
      <w:r w:rsidRPr="00EC416A">
        <w:t xml:space="preserve">, </w:t>
      </w:r>
      <w:r w:rsidRPr="00EC416A">
        <w:t>klobazam</w:t>
      </w:r>
      <w:r w:rsidRPr="00EC416A">
        <w:t xml:space="preserve">, </w:t>
      </w:r>
      <w:r w:rsidRPr="00EC416A">
        <w:t>gabapentin</w:t>
      </w:r>
      <w:r w:rsidRPr="00EC416A">
        <w:t xml:space="preserve">, </w:t>
      </w:r>
      <w:r w:rsidRPr="00EC416A">
        <w:t>topiramat</w:t>
      </w:r>
      <w:r w:rsidRPr="00EC416A">
        <w:t xml:space="preserve">, </w:t>
      </w:r>
      <w:r w:rsidRPr="00EC416A">
        <w:t>okskarbazepin</w:t>
      </w:r>
      <w:r w:rsidRPr="00EC416A">
        <w:t xml:space="preserve">, </w:t>
      </w:r>
      <w:r w:rsidRPr="00EC416A">
        <w:t>levetiracetam</w:t>
      </w:r>
      <w:r w:rsidRPr="00EC416A">
        <w:t xml:space="preserve">, </w:t>
      </w:r>
      <w:r w:rsidRPr="00EC416A">
        <w:t>pregabalin</w:t>
      </w:r>
      <w:r w:rsidRPr="00EC416A">
        <w:t xml:space="preserve"> og </w:t>
      </w:r>
      <w:r w:rsidRPr="00EC416A">
        <w:t>vigabatrin</w:t>
      </w:r>
      <w:r w:rsidRPr="00EC416A">
        <w:t xml:space="preserve"> ved amming er sparsomme.</w:t>
      </w:r>
    </w:p>
    <w:p w:rsidR="00B8740B" w:rsidP="00B8740B" w14:paraId="68A53115" w14:textId="77777777">
      <w:pPr>
        <w:numPr>
          <w:ilvl w:val="0"/>
          <w:numId w:val="27"/>
        </w:numPr>
      </w:pPr>
      <w:r w:rsidRPr="00EC416A">
        <w:t xml:space="preserve">Se nasjonal veileder for en fullstendig oversikt over de ulike </w:t>
      </w:r>
      <w:r w:rsidRPr="00EC416A">
        <w:t>antiepileptika</w:t>
      </w:r>
      <w:r w:rsidRPr="00EC416A">
        <w:t>.</w:t>
      </w:r>
      <w:r>
        <w:t xml:space="preserve"> </w:t>
      </w:r>
      <w:r w:rsidRPr="00EC416A">
        <w:t xml:space="preserve">Kvinnen fortsetter å ta </w:t>
      </w:r>
      <w:r w:rsidRPr="00EC416A">
        <w:t>antiepileptika</w:t>
      </w:r>
      <w:r w:rsidRPr="00EC416A">
        <w:t xml:space="preserve"> som før fødselen.</w:t>
      </w:r>
    </w:p>
    <w:p w:rsidR="00B8740B" w:rsidRPr="00EC416A" w:rsidP="00B8740B" w14:paraId="2458E891" w14:textId="77777777">
      <w:pPr>
        <w:ind w:left="720"/>
      </w:pPr>
    </w:p>
    <w:p w:rsidR="00B8740B" w:rsidRPr="00AA7DB1" w:rsidP="00B8740B" w14:paraId="01DED8C6" w14:textId="77777777">
      <w:pPr>
        <w:pStyle w:val="ListParagraph"/>
      </w:pPr>
    </w:p>
    <w:p w:rsidR="00B8740B" w:rsidRPr="00EC416A" w:rsidP="00B8740B" w14:paraId="5D2ECC17" w14:textId="77777777">
      <w:pPr>
        <w:rPr>
          <w:bCs/>
          <w:u w:val="single"/>
        </w:rPr>
      </w:pPr>
      <w:r w:rsidRPr="00EC416A">
        <w:rPr>
          <w:bCs/>
          <w:u w:val="single"/>
        </w:rPr>
        <w:t xml:space="preserve">Oppfølging av barnet </w:t>
      </w:r>
    </w:p>
    <w:p w:rsidR="00B8740B" w:rsidRPr="00AA7DB1" w:rsidP="00B8740B" w14:paraId="675875FB" w14:textId="77777777">
      <w:pPr>
        <w:numPr>
          <w:ilvl w:val="0"/>
          <w:numId w:val="32"/>
        </w:numPr>
      </w:pPr>
      <w:r w:rsidRPr="00AA7DB1">
        <w:t xml:space="preserve">Bivirkninger som er vanlige hos pediatriske pasienter kan også tenkes å oppstå hos spebarn som eksponeres for legemidlet via morsmelken (f.eks. utslett ved </w:t>
      </w:r>
      <w:r w:rsidRPr="00AA7DB1">
        <w:t>lamotrigin</w:t>
      </w:r>
      <w:r w:rsidRPr="00AA7DB1">
        <w:t xml:space="preserve">, leverpåvirkning ved </w:t>
      </w:r>
      <w:r w:rsidRPr="00AA7DB1">
        <w:t>valproat</w:t>
      </w:r>
      <w:r w:rsidRPr="00AA7DB1">
        <w:t xml:space="preserve">, feber ved </w:t>
      </w:r>
      <w:r w:rsidRPr="00AA7DB1">
        <w:t>zonisamid</w:t>
      </w:r>
      <w:r w:rsidRPr="00AA7DB1">
        <w:t>).</w:t>
      </w:r>
    </w:p>
    <w:p w:rsidR="00B8740B" w:rsidRPr="00AA7DB1" w:rsidP="00B8740B" w14:paraId="47B3170B" w14:textId="77777777">
      <w:pPr>
        <w:numPr>
          <w:ilvl w:val="0"/>
          <w:numId w:val="32"/>
        </w:numPr>
      </w:pPr>
      <w:r w:rsidRPr="00AA7DB1">
        <w:t xml:space="preserve">Barnets plasmanivå av </w:t>
      </w:r>
      <w:r w:rsidRPr="00AA7DB1">
        <w:t>antiepileptika</w:t>
      </w:r>
      <w:r w:rsidRPr="00AA7DB1">
        <w:t xml:space="preserve"> bør måles ved tegn til </w:t>
      </w:r>
      <w:r w:rsidRPr="00AA7DB1">
        <w:t>sedasjon</w:t>
      </w:r>
      <w:r w:rsidRPr="00AA7DB1">
        <w:t xml:space="preserve"> eller manglende vektøkning uten annen årsak.</w:t>
      </w:r>
    </w:p>
    <w:p w:rsidR="00B8740B" w:rsidRPr="00AA7DB1" w:rsidP="00B8740B" w14:paraId="3C87DA50" w14:textId="77777777">
      <w:pPr>
        <w:numPr>
          <w:ilvl w:val="0"/>
          <w:numId w:val="32"/>
        </w:numPr>
      </w:pPr>
      <w:r w:rsidRPr="00AA7DB1">
        <w:t>Ammetidspunkt kan gjerne planlegges når det er lavest mulig nivå i melken, som hele tiden står i likevekt med mors blod, for eksempel rett før inntak av neste legemiddeldose.</w:t>
      </w:r>
    </w:p>
    <w:p w:rsidR="00B8740B" w:rsidRPr="00AA7DB1" w:rsidP="00B8740B" w14:paraId="42CEF652" w14:textId="77777777">
      <w:pPr>
        <w:numPr>
          <w:ilvl w:val="0"/>
          <w:numId w:val="32"/>
        </w:numPr>
      </w:pPr>
      <w:r w:rsidRPr="00AA7DB1">
        <w:t xml:space="preserve">Delvis amming. Ved bruk av </w:t>
      </w:r>
      <w:r w:rsidRPr="00AA7DB1">
        <w:t>antiepileptika</w:t>
      </w:r>
      <w:r w:rsidRPr="00AA7DB1">
        <w:t xml:space="preserve"> med høy overgang til morsmelk eller lang halveringstid k</w:t>
      </w:r>
      <w:r>
        <w:t>an ammingen eventuelt reduseres, f</w:t>
      </w:r>
      <w:r w:rsidRPr="00AA7DB1">
        <w:t xml:space="preserve">or eksempel </w:t>
      </w:r>
      <w:r>
        <w:t>til at</w:t>
      </w:r>
      <w:r w:rsidRPr="00AA7DB1">
        <w:t xml:space="preserve"> tre fjerdedeler eller halvparten av melkeinntak kommer fra mor. </w:t>
      </w:r>
    </w:p>
    <w:p w:rsidR="00B8740B" w:rsidRPr="00AA7DB1" w:rsidP="00B8740B" w14:paraId="18CC77AA" w14:textId="77777777">
      <w:r w:rsidRPr="00AA7DB1">
        <w:t> </w:t>
      </w:r>
    </w:p>
    <w:p w:rsidR="00B8740B" w:rsidRPr="00AA7DB1" w:rsidP="00B8740B" w14:paraId="7717805C" w14:textId="77777777">
      <w:pPr>
        <w:rPr>
          <w:b/>
        </w:rPr>
      </w:pPr>
      <w:r w:rsidRPr="00AA7DB1">
        <w:rPr>
          <w:b/>
        </w:rPr>
        <w:t> </w:t>
      </w:r>
    </w:p>
    <w:p w:rsidR="00B8740B" w:rsidP="00B8740B" w14:paraId="447EE0C7" w14:textId="4FFD7CFF">
      <w:pPr>
        <w:rPr>
          <w:b/>
        </w:rPr>
      </w:pPr>
    </w:p>
    <w:p w:rsidR="00A37C88" w:rsidP="00706F12" w14:paraId="00776D8D" w14:textId="76F7B1BD">
      <w:pPr>
        <w:rPr>
          <w:color w:val="FF0000"/>
        </w:rPr>
      </w:pPr>
    </w:p>
    <w:p w:rsidR="00BC014D" w:rsidRPr="00F52232" w:rsidP="00706F12" w14:paraId="00776D8E" w14:textId="77777777"/>
    <w:p w:rsidR="006A24B1" w:rsidRPr="00F82397" w:rsidP="007508E5" w14:paraId="00776D8F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82397" w:rsidP="006A24B1" w14:paraId="00776D93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F82397" w:rsidP="00F82397" w14:paraId="00776D96" w14:textId="77777777">
      <w:pPr>
        <w:pStyle w:val="ListParagraph"/>
        <w:ind w:left="1701"/>
        <w:rPr>
          <w:szCs w:val="22"/>
        </w:rPr>
      </w:pPr>
      <w:bookmarkEnd w:id="2"/>
    </w:p>
    <w:p w:rsidR="00F116BF" w:rsidRPr="00F82397" w:rsidP="007508E5" w14:paraId="00776D97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 w14:paraId="00776D9B" w14:textId="77777777">
      <w:pPr>
        <w:rPr>
          <w:b/>
          <w:szCs w:val="22"/>
        </w:rPr>
      </w:pPr>
      <w:bookmarkEnd w:id="3"/>
    </w:p>
    <w:p w:rsidR="00800E89" w:rsidP="00800E89" w14:paraId="00776D9C" w14:textId="008C092C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800E89" w:rsidP="00800E89" w14:paraId="00776D9D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 w14:paraId="00776D9E" w14:textId="77777777">
      <w:pPr>
        <w:rPr>
          <w:b/>
          <w:szCs w:val="22"/>
        </w:rPr>
      </w:pPr>
    </w:p>
    <w:p w:rsidR="00BB1668" w:rsidRPr="00F82397" w:rsidP="00537905" w14:paraId="00776D9F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0776DA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2"/>
      <w:gridCol w:w="4331"/>
      <w:gridCol w:w="1582"/>
    </w:tblGrid>
    <w:tr w14:paraId="00776DBC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0776DB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00776DB1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00776DB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00776DB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00776DB4" w14:textId="3B195A79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Kvinneklinikken/Føde-barsel</w:t>
          </w:r>
        </w:p>
        <w:p w:rsidR="003A3085" w14:paraId="00776DB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00776DB6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00776DB7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0776DB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D05176</w:t>
          </w:r>
          <w:r>
            <w:rPr>
              <w:sz w:val="14"/>
              <w:szCs w:val="14"/>
            </w:rPr>
            <w:fldChar w:fldCharType="end"/>
          </w:r>
        </w:p>
        <w:p w:rsidR="003A3085" w14:paraId="00776DB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13.00</w:t>
          </w:r>
          <w:r>
            <w:rPr>
              <w:sz w:val="14"/>
              <w:szCs w:val="14"/>
            </w:rPr>
            <w:fldChar w:fldCharType="end"/>
          </w:r>
        </w:p>
        <w:p w:rsidR="003A3085" w14:paraId="00776DB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13.07.2023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00776DBB" w14:textId="0650FAEE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0776DB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0776DA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0776DA6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00776DA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0776DA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D05176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0776DA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00776DA5" w14:textId="1635CD72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0776DAA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00776DA9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00776DAC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00776DAB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0776DAE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00776DAD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Epilepsi, gravide.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E4BBB"/>
    <w:multiLevelType w:val="multilevel"/>
    <w:tmpl w:val="2ED6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0860E7"/>
    <w:multiLevelType w:val="multilevel"/>
    <w:tmpl w:val="9F2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94F32"/>
    <w:multiLevelType w:val="multilevel"/>
    <w:tmpl w:val="9F2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B51387"/>
    <w:multiLevelType w:val="multilevel"/>
    <w:tmpl w:val="A2E8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DB213A"/>
    <w:multiLevelType w:val="hybridMultilevel"/>
    <w:tmpl w:val="567C67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AC1C5C"/>
    <w:multiLevelType w:val="multilevel"/>
    <w:tmpl w:val="3AD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6A321C5"/>
    <w:multiLevelType w:val="multilevel"/>
    <w:tmpl w:val="657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8"/>
  </w:num>
  <w:num w:numId="5">
    <w:abstractNumId w:val="32"/>
  </w:num>
  <w:num w:numId="6">
    <w:abstractNumId w:val="24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7"/>
  </w:num>
  <w:num w:numId="20">
    <w:abstractNumId w:val="20"/>
  </w:num>
  <w:num w:numId="21">
    <w:abstractNumId w:val="18"/>
  </w:num>
  <w:num w:numId="22">
    <w:abstractNumId w:val="2"/>
  </w:num>
  <w:num w:numId="23">
    <w:abstractNumId w:val="29"/>
  </w:num>
  <w:num w:numId="24">
    <w:abstractNumId w:val="17"/>
  </w:num>
  <w:num w:numId="25">
    <w:abstractNumId w:val="2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28"/>
  </w:num>
  <w:num w:numId="30">
    <w:abstractNumId w:val="30"/>
  </w:num>
  <w:num w:numId="31">
    <w:abstractNumId w:val="7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45144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726CE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51570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A62F1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1412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582F"/>
    <w:rsid w:val="0060748A"/>
    <w:rsid w:val="006138AC"/>
    <w:rsid w:val="006155CA"/>
    <w:rsid w:val="00625994"/>
    <w:rsid w:val="006325DE"/>
    <w:rsid w:val="006326FF"/>
    <w:rsid w:val="00643DB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D6ED6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8F4D3F"/>
    <w:rsid w:val="00900C36"/>
    <w:rsid w:val="0090435A"/>
    <w:rsid w:val="0091442A"/>
    <w:rsid w:val="0091601B"/>
    <w:rsid w:val="00917D39"/>
    <w:rsid w:val="009224AE"/>
    <w:rsid w:val="00930374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07C9"/>
    <w:rsid w:val="00A06B82"/>
    <w:rsid w:val="00A24AEE"/>
    <w:rsid w:val="00A3590A"/>
    <w:rsid w:val="00A37C88"/>
    <w:rsid w:val="00A4351F"/>
    <w:rsid w:val="00A44FA8"/>
    <w:rsid w:val="00A51E42"/>
    <w:rsid w:val="00A751A2"/>
    <w:rsid w:val="00A9362B"/>
    <w:rsid w:val="00A979A4"/>
    <w:rsid w:val="00AA2010"/>
    <w:rsid w:val="00AA7DB1"/>
    <w:rsid w:val="00AB6A57"/>
    <w:rsid w:val="00AC4EEA"/>
    <w:rsid w:val="00AC63E4"/>
    <w:rsid w:val="00AC6593"/>
    <w:rsid w:val="00AC7426"/>
    <w:rsid w:val="00AD2418"/>
    <w:rsid w:val="00AD2519"/>
    <w:rsid w:val="00AD3637"/>
    <w:rsid w:val="00AD66B9"/>
    <w:rsid w:val="00AD706C"/>
    <w:rsid w:val="00AD7C0E"/>
    <w:rsid w:val="00AE19E7"/>
    <w:rsid w:val="00AE3842"/>
    <w:rsid w:val="00B1079D"/>
    <w:rsid w:val="00B13C89"/>
    <w:rsid w:val="00B14A8D"/>
    <w:rsid w:val="00B227DF"/>
    <w:rsid w:val="00B23548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8740B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6661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416A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felles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felles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Ingen faglige endringer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0776D80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B8740B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9D25-4814-445B-89C5-F9B08B5E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3</Pages>
  <Words>1088</Words>
  <Characters>7540</Characters>
  <Application>Microsoft Office Word</Application>
  <DocSecurity>0</DocSecurity>
  <Lines>62</Lines>
  <Paragraphs>17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Epilepsi, gravide.</dc:title>
  <dc:subject>00|[RefNr]|</dc:subject>
  <dc:creator>Handbok</dc:creator>
  <dc:description>EK_Avdeling_x0002_4_x0002_[Avdeling]_x0003_EK_Avsnitt_x0002_4_x0002_[Avsnitt]_x0003_EK_Bedriftsnavn_x0002_1_x0002_Sykehuset Østfol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 - stående, felles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Fagansvarlig]_x0003_EK_UText2_x0002_0_x0002_[Med.fag.rådgiver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Britt Helene Skaar Udnæs</cp:lastModifiedBy>
  <cp:revision>3</cp:revision>
  <cp:lastPrinted>2014-07-01T13:24:00Z</cp:lastPrinted>
  <dcterms:created xsi:type="dcterms:W3CDTF">2023-03-13T14:05:00Z</dcterms:created>
  <dcterms:modified xsi:type="dcterms:W3CDTF">2023-05-25T14:59:00Z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Epilepsi, gravide.</vt:lpwstr>
  </property>
  <property fmtid="{D5CDD505-2E9C-101B-9397-08002B2CF9AE}" pid="4" name="EK_DokType">
    <vt:lpwstr>Prosedyre</vt:lpwstr>
  </property>
  <property fmtid="{D5CDD505-2E9C-101B-9397-08002B2CF9AE}" pid="5" name="EK_DokumentID">
    <vt:lpwstr>D05176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[Merknad]</vt:lpwstr>
  </property>
  <property fmtid="{D5CDD505-2E9C-101B-9397-08002B2CF9AE}" pid="9" name="EK_Signatur">
    <vt:lpwstr>Åse Kari Kringlåk</vt:lpwstr>
  </property>
  <property fmtid="{D5CDD505-2E9C-101B-9397-08002B2CF9AE}" pid="10" name="EK_SkrevetAv">
    <vt:lpwstr>Seksjonsoverlege PhD Katrine Dønvold Sjøborg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13.00</vt:lpwstr>
  </property>
  <property fmtid="{D5CDD505-2E9C-101B-9397-08002B2CF9AE}" pid="14" name="EK_Watermark">
    <vt:lpwstr>Vannmerke</vt:lpwstr>
  </property>
  <property fmtid="{D5CDD505-2E9C-101B-9397-08002B2CF9AE}" pid="15" name="XR02902">
    <vt:lpwstr/>
  </property>
  <property fmtid="{D5CDD505-2E9C-101B-9397-08002B2CF9AE}" pid="16" name="XRF02902">
    <vt:lpwstr>Veileder i fødselshjelp. Norsk gynekologisk forening</vt:lpwstr>
  </property>
  <property fmtid="{D5CDD505-2E9C-101B-9397-08002B2CF9AE}" pid="17" name="XRL02902">
    <vt:lpwstr> Veileder i fødselshjelp. Norsk gynekologisk forening</vt:lpwstr>
  </property>
  <property fmtid="{D5CDD505-2E9C-101B-9397-08002B2CF9AE}" pid="18" name="XRT02902">
    <vt:lpwstr>Veileder i fødselshjelp. Norsk gynekologisk forening</vt:lpwstr>
  </property>
</Properties>
</file>