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F400F6">
        <w:instrText xml:space="preserve"> DOCVARIABLE EK_Merknad </w:instrText>
      </w:r>
      <w:r>
        <w:fldChar w:fldCharType="separate"/>
      </w:r>
      <w:r w:rsidR="00F400F6">
        <w:t>Felles prosedyre, anestesiavdelingen ansvarlig. Kun link til aktuell prosedyre i dette dokumentet.</w:t>
      </w:r>
      <w:r>
        <w:fldChar w:fldCharType="end"/>
      </w:r>
    </w:p>
    <w:p w:rsidR="00872AA4" w:rsidP="008C73C1"/>
    <w:p w:rsidR="00872AA4" w:rsidP="008C73C1"/>
    <w:p w:rsidR="00872AA4" w:rsidP="008C73C1"/>
    <w:p w:rsidR="000C61BF" w:rsidRPr="00E66A7F" w:rsidP="008C73C1">
      <w:pPr>
        <w:rPr>
          <w:rFonts w:ascii="Calibri-Bold" w:hAnsi="Calibri-Bold" w:cs="Calibri-Bold"/>
          <w:b/>
          <w:bCs/>
          <w:szCs w:val="22"/>
        </w:rPr>
      </w:pPr>
      <w:r w:rsidRPr="00E66A7F">
        <w:rPr>
          <w:rFonts w:ascii="Calibri-Bold" w:hAnsi="Calibri-Bold" w:cs="Calibri-Bold"/>
          <w:b/>
          <w:bCs/>
          <w:szCs w:val="22"/>
        </w:rPr>
        <w:t>Link til prosedyren:</w:t>
      </w:r>
    </w:p>
    <w:p w:rsidR="00E66A7F" w:rsidP="008C73C1">
      <w:hyperlink r:id="rId5" w:tooltip="XDF45371 - dok45371.docx" w:history="1">
        <w:r w:rsidRPr="00E66A7F">
          <w:rPr>
            <w:rStyle w:val="Hyperlink"/>
          </w:rPr>
          <w:fldChar w:fldCharType="begin" w:fldLock="1"/>
        </w:r>
        <w:r w:rsidRPr="00E66A7F">
          <w:rPr>
            <w:rStyle w:val="Hyperlink"/>
          </w:rPr>
          <w:instrText xml:space="preserve"> DOCPROPERTY XDT45371 \*charformat \* MERGEFORMAT </w:instrText>
        </w:r>
        <w:r w:rsidRPr="00E66A7F">
          <w:rPr>
            <w:rStyle w:val="Hyperlink"/>
          </w:rPr>
          <w:fldChar w:fldCharType="separate"/>
        </w:r>
        <w:r>
          <w:rPr>
            <w:rStyle w:val="Hyperlink"/>
          </w:rPr>
          <w:t>Regional analgesi - vaginal forløsning, spinal/epidural</w:t>
        </w:r>
        <w:r w:rsidRPr="00E66A7F">
          <w:rPr>
            <w:rStyle w:val="Hyperlink"/>
          </w:rPr>
          <w:fldChar w:fldCharType="end"/>
        </w:r>
      </w:hyperlink>
    </w:p>
    <w:p w:rsidR="006C4F50" w:rsidP="008C73C1">
      <w:pPr>
        <w:rPr>
          <w:szCs w:val="22"/>
        </w:rPr>
      </w:pPr>
    </w:p>
    <w:p w:rsidR="00872AA4" w:rsidP="008C73C1">
      <w:pPr>
        <w:rPr>
          <w:szCs w:val="22"/>
        </w:rPr>
      </w:pPr>
    </w:p>
    <w:p w:rsidR="00872AA4" w:rsidP="008C73C1">
      <w:pPr>
        <w:rPr>
          <w:szCs w:val="22"/>
        </w:rPr>
      </w:pPr>
    </w:p>
    <w:p w:rsidR="00E66A7F" w:rsidP="008C73C1">
      <w:pPr>
        <w:rPr>
          <w:szCs w:val="22"/>
        </w:rPr>
      </w:pPr>
    </w:p>
    <w:p w:rsidR="00E66A7F" w:rsidP="008C73C1">
      <w:pPr>
        <w:rPr>
          <w:szCs w:val="22"/>
        </w:rPr>
      </w:pPr>
    </w:p>
    <w:p w:rsidR="00E66A7F" w:rsidP="008C73C1">
      <w:pPr>
        <w:rPr>
          <w:szCs w:val="22"/>
        </w:rPr>
      </w:pPr>
    </w:p>
    <w:p w:rsidR="00E66A7F" w:rsidP="008C73C1">
      <w:pPr>
        <w:rPr>
          <w:szCs w:val="22"/>
        </w:rPr>
      </w:pPr>
    </w:p>
    <w:p w:rsidR="00E66A7F" w:rsidP="008C73C1">
      <w:pPr>
        <w:rPr>
          <w:szCs w:val="22"/>
        </w:rPr>
      </w:pPr>
    </w:p>
    <w:p w:rsidR="00E66A7F" w:rsidP="008C73C1">
      <w:pPr>
        <w:rPr>
          <w:szCs w:val="22"/>
        </w:rPr>
      </w:pPr>
    </w:p>
    <w:p w:rsidR="00E66A7F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A3.6.1/3.1.4-06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Regional analgesi - vaginal forløsning, spinal/epidural</w:t>
              </w:r>
            </w:hyperlink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>
      <w:pPr>
        <w:rPr>
          <w:b/>
          <w:szCs w:val="22"/>
        </w:rPr>
      </w:pPr>
      <w:bookmarkEnd w:id="4"/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0"/>
      <w:gridCol w:w="2935"/>
      <w:gridCol w:w="2970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Fagutviklingsrådgiver Ann Morris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D05107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10.00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06.12.2023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1"/>
      <w:gridCol w:w="2551"/>
      <w:gridCol w:w="2551"/>
      <w:gridCol w:w="2552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D05107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10.00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2E11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Epiduralanalgesi, fødsel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2E11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389"/>
    <w:rsid w:val="000E5429"/>
    <w:rsid w:val="000E5494"/>
    <w:rsid w:val="001018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06E5"/>
    <w:rsid w:val="00273454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1195"/>
    <w:rsid w:val="002E6EAE"/>
    <w:rsid w:val="002F4997"/>
    <w:rsid w:val="002F600E"/>
    <w:rsid w:val="00330CB2"/>
    <w:rsid w:val="0033304B"/>
    <w:rsid w:val="00343EFF"/>
    <w:rsid w:val="00344763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930FD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2AA4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04BB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66A7F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0F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5EDC"/>
    <w:rsid w:val="00FC732A"/>
    <w:rsid w:val="00FD364E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3.05.2005¤3#EK_Utgitt¤2#0¤2#24.08.2004¤3#EK_IBrukDato¤2#0¤2#25.06.2020¤3#EK_DokumentID¤2#0¤2#D05107¤3#EK_DokTittel¤2#0¤2#Epiduralanalgesi, fødsel¤3#EK_DokType¤2#0¤2#Prosedyre¤3#EK_DocLvlShort¤2#0¤2#Nivå 2¤3#EK_DocLevel¤2#0¤2#Avdelingsdokumenter¤3#EK_EksRef¤2#2¤2# 0_x0009_¤3#EK_Erstatter¤2#0¤2#9.00¤3#EK_ErstatterD¤2#0¤2#25.06.2020¤3#EK_Signatur¤2#0¤2#¤3#EK_Verifisert¤2#0¤2#¤3#EK_Hørt¤2#0¤2#¤3#EK_AuditReview¤2#2¤2#¤3#EK_AuditApprove¤2#2¤2#¤3#EK_Gradering¤2#0¤2#Åpen¤3#EK_Gradnr¤2#4¤2#0¤3#EK_Kapittel¤2#4¤2# ¤3#EK_Referanse¤2#2¤2# 1_x0009_A4.6.1/6.1.5-02_x0009_Regional analgesi - vaginal forløsning, spinal/epidural_x0009_45371_x0009_dok45371.docx_x0009_¤1#¤3#EK_RefNr¤2#0¤2#A5.2/6.1.2-13¤3#EK_Revisjon¤2#0¤2#10.00¤3#EK_Ansvarlig¤2#0¤2#Britt Helene Skaar Udnæs¤3#EK_SkrevetAv¤2#0¤2#Fagutviklingsrådgiver Ann Morris¤3#EK_UText1¤2#0¤2#Seksjonsoverlege PhD Katrine Dønvold Sjøborg¤3#EK_UText2¤2#0¤2#Seksjonsoverlege PhD Katrine Dønvold Sjøborg¤3#EK_UText3¤2#0¤2# ¤3#EK_UText4¤2#0¤2# ¤3#EK_Status¤2#0¤2#Til godkj.(rev)¤3#EK_Stikkord¤2#0¤2#EDA, epidural, akupunktur, bedøvelse, smertelindring, anestesi, ryggbedøvning, ryggbedøvelse, langsom fremgang, aktiv fødsel¤3#EK_SuperStikkord¤2#0¤2#¤3#EK_Rapport¤2#3¤2#¤3#EK_EKPrintMerke¤2#0¤2#Uoffisiell utskrift er kun gyldig på utskriftsdato¤3#EK_Watermark¤2#0¤2# &lt;til godkjenning&gt;¤3#EK_Utgave¤2#0¤2#10.00¤3#EK_Merknad¤2#7¤2#Felles prosedyre, anestesiavdelingen ansvarlig. Kun link til aktuell prosedyre i dette dokumentet.¤3#EK_VerLogg¤2#2¤2#Ver. 10.00 - 25.06.2020|Felles prosedyre, anestesiavdelingen ansvarlig. Kun link til aktuell prosedyre i dette dokumentet.¤1#Ver. 9.00 - 25.06.2020|Felles prosedyre, anestesiavdelingen ansvarlig. Kun link til aktuell prosedyre i dette dokumentet.¤1#Ver. 8.00 - 02.03.2017|Lagt til avsnitt &quot;Kvinner som bruker lavmolekulært Heparin&quot;¤1#Ver. 7.00 - 03.02.2012|¤1#Ver. 6.01 - 07.09.2011|Adm endring¤1#Ver. 6.00 - 05.01.2011|¤1#Ver. 5.01 - 02.02.2010|¤1#Ver. 5.00 - 19.10.2009|¤1#Ver. 4.00 - 26.03.2008|¤1#Ver. 3.00 - 08.03.2007|Revider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¤3#EK_Vedlegg¤2#2¤2# 0_x0009_¤3#EK_AvdelingOver¤2#4¤2# ¤3#EK_HRefNr¤2#0¤2# ¤3#EK_HbNavn¤2#0¤2# ¤3#EK_DokRefnr¤2#4¤2#00030503060102¤3#EK_Dokendrdato¤2#4¤2#17.10.2023 12:17:41¤3#EK_HbType¤2#4¤2# ¤3#EK_Offisiell¤2#4¤2# ¤3#EK_VedleggRef¤2#4¤2#A5.2/6.1.2-13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13"/>
    <w:docVar w:name="ek_doclevel" w:val="Avdelingsdokumenter"/>
    <w:docVar w:name="ek_doclvlshort" w:val="Nivå 2"/>
    <w:docVar w:name="ek_doktittel" w:val="Epiduralanalgesi, fødsel"/>
    <w:docVar w:name="ek_doktype" w:val="Prosedyre"/>
    <w:docVar w:name="ek_dokumentid" w:val="D05107"/>
    <w:docVar w:name="ek_editprotect" w:val="-1"/>
    <w:docVar w:name="ek_ekprintmerke" w:val="Uoffisiell utskrift er kun gyldig på utskriftsdato"/>
    <w:docVar w:name="ek_eksref" w:val="[EK_EksRef]"/>
    <w:docVar w:name="ek_erstatter" w:val="9.00"/>
    <w:docVar w:name="ek_erstatterd" w:val="25.06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5.06.2020"/>
    <w:docVar w:name="ek_klgjelderfra" w:val=" "/>
    <w:docVar w:name="ek_merknad" w:val="Felles prosedyre, anestesiavdelingen ansvarlig. Kun link til aktuell prosedyre i dette dokumentet."/>
    <w:docVar w:name="ek_opprettet" w:val="13.05.2005"/>
    <w:docVar w:name="ek_protection" w:val="-1"/>
    <w:docVar w:name="ek_rapport" w:val="[]"/>
    <w:docVar w:name="ek_referanse" w:val="[EK_Referanse]"/>
    <w:docVar w:name="ek_refnr" w:val="A5.2/6.1.2-13"/>
    <w:docVar w:name="ek_revisjon" w:val="10.00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Fagutviklingsrådgiver Ann Morris"/>
    <w:docVar w:name="ek_status" w:val="Til godkj.(rev)"/>
    <w:docVar w:name="ek_stikkord" w:val="EDA, epidural, akupunktur, bedøvelse, smertelindring, anestesi, ryggbedøvning, ryggbedøvelse, langsom fremgang, aktiv fødsel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0.00"/>
    <w:docVar w:name="ek_utgitt" w:val="24.08.200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45371;"/>
    <w:docVar w:name="idxd" w:val=";45371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45371;"/>
    <w:docVar w:name="Tittel" w:val="Dette er en Test tittel."/>
    <w:docVar w:name="Utgave" w:val="[Ver]"/>
    <w:docVar w:name="xd45371" w:val="A5.6.1/6.1-42"/>
    <w:docVar w:name="xdf45371" w:val="dok45371.docx"/>
    <w:docVar w:name="xdl45371" w:val="A5.6.1/6.1-42 Regional analgesi - vaginal forløsning, spinal/epidural"/>
    <w:docVar w:name="xdt45371" w:val="Regional analgesi - vaginal forløsning, spinal/epidura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3A3374-B355-4A02-B125-819D349E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364E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45371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0215-9911-42D3-B03F-6A778687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37</Words>
  <Characters>279</Characters>
  <Application>Microsoft Office Word</Application>
  <DocSecurity>0</DocSecurity>
  <Lines>28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Epiduralanalgesi, fødsel</dc:title>
  <dc:subject>00030503060102|A5.2/6.1.2-13|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_x0003_EK_Opprettet_x0002_0_x0002_13.05.2005_x0003_EK_Utgitt_x0002_0_x0002_24.08.2004_x0003_EK_IBrukDato_x0002_0_x0002_25.06.2020_x0003_EK_DokumentID_x0002_0_x0002_D05107_x0003_EK_DokTittel_x0002_0_x0002_Epiduralanalgesi, fødsel_x0003_EK_DokType_x0002_0_x0002_Prosedyre_x0003_EK_DocLvlShort_x0002_0_x0002_Nivå 2_x0003_EK_DocLevel_x0002_0_x0002_Avdelingsdokumenter_x0003_EK_EksRef_x0002_2_x0002_ 0	_x0003_EK_Erstatter_x0002_0_x0002_9.00_x0003_EK_ErstatterD_x0002_0_x0002_25.06.2020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1	A4.6.1/6.1.5-02	Regional analgesi - vaginal forløsning, spinal/epidural	45371	dok45371.docx	_x0001__x0003_EK_RefNr_x0002_0_x0002_A5.2/6.1.2-13_x0003_EK_Revisjon_x0002_0_x0002_10.00_x0003_EK_Ansvarlig_x0002_0_x0002_Britt Helene Skaar Udnæs_x0003_EK_SkrevetAv_x0002_0_x0002_Fagutviklingsrådgiver Ann Morris_x0003_EK_UText1_x0002_0_x0002_Seksjonsoverlege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godkj.(rev)_x0003_EK_Stikkord_x0002_0_x0002_EDA, epidural, akupunktur, bedøvelse, smertelindring, anestesi, ryggbedøvning, ryggbedøvelse, langsom fremgang, aktiv fødsel_x0003_EK_SuperStikkord_x0002_0_x0002__x0003_EK_Rapport_x0002_3_x0002__x0003_EK_EKPrintMerke_x0002_0_x0002_Uoffisiell utskrift er kun gyldig på utskriftsdato_x0003_EK_Watermark_x0002_0_x0002_ &lt;til godkjenning&gt;_x0003_EK_Utgave_x0002_0_x0002_10.00_x0003_EK_Merknad_x0002_7_x0002_Felles prosedyre, anestesiavdelingen ansvarlig. Kun link til aktuell prosedyre i dette dokumentet._x0003_EK_VerLogg_x0002_2_x0002_Ver. 10.00 - 25.06.2020|Felles prosedyre, anestesiavdelingen ansvarlig. Kun link til aktuell prosedyre i dette dokumentet._x0001_Ver. 9.00 - 25.06.2020|Felles prosedyre, anestesiavdelingen ansvarlig. Kun link til aktuell prosedyre i dette dokumentet._x0001_Ver. 8.00 - 02.03.2017|Lagt til avsnitt "Kvinner som bruker lavmolekulært Heparin"_x0001_Ver. 7.00 - 03.02.2012|_x0001_Ver. 6.01 - 07.09.2011|Adm endring_x0001_Ver. 6.00 - 05.01.2011|_x0001_Ver. 5.01 - 02.02.2010|_x0001_Ver. 5.00 - 19.10.2009|_x0001_Ver. 4.00 - 26.03.2008|_x0001_Ver. 3.00 - 08.03.2007|Revidert_x0003_EK_RF1_x0002_4_x0002_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_x0003_EK_DL_x0002_0_x0002_13_x0003_EK_GjelderTil_x0002_0_x0002__x0003_EK_Vedlegg_x0002_2_x0002_ 0	_x0003_EK_AvdelingOver_x0002_4_x0002_ _x0003_EK_HRefNr_x0002_0_x0002_ _x0003_EK_HbNavn_x0002_0_x0002_ _x0003_EK_DokRefnr_x0002_4_x0002_00030503060102_x0003_EK_Dokendrdato_x0002_4_x0002_17.10.2023 12:17:41_x0003_EK_HbType_x0002_4_x0002_ _x0003_EK_Offisiell_x0002_4_x0002_ _x0003_EK_VedleggRef_x0002_4_x0002_A5.2/6.1.2-13_x0003_EK_Strukt00_x0002_5_x0002__x0005_A_x0005_Avdelinger_x0005_0_x0005_0_x0004__x0005_5_x0005_Klinikk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2023-12-05T09:37:00Z</dcterms:created>
  <dcterms:modified xsi:type="dcterms:W3CDTF">2023-12-05T09:37:00Z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Epiduralanalgesi, fødsel</vt:lpwstr>
  </property>
  <property fmtid="{D5CDD505-2E9C-101B-9397-08002B2CF9AE}" pid="4" name="EK_DokType">
    <vt:lpwstr>Prosedyre</vt:lpwstr>
  </property>
  <property fmtid="{D5CDD505-2E9C-101B-9397-08002B2CF9AE}" pid="5" name="EK_DokumentID">
    <vt:lpwstr>D05107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06.12.2023</vt:lpwstr>
  </property>
  <property fmtid="{D5CDD505-2E9C-101B-9397-08002B2CF9AE}" pid="8" name="EK_Merknad">
    <vt:lpwstr>Felles prosedyre, anestesiavdelingen ansvarlig. Kun link til aktuell prosedyre i dette dokumentet.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Fagutviklingsrådgiver Ann Morris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10.00</vt:lpwstr>
  </property>
  <property fmtid="{D5CDD505-2E9C-101B-9397-08002B2CF9AE}" pid="16" name="EK_Watermark">
    <vt:lpwstr> &lt;til godkjenning&gt;</vt:lpwstr>
  </property>
  <property fmtid="{D5CDD505-2E9C-101B-9397-08002B2CF9AE}" pid="17" name="XD45371">
    <vt:lpwstr>A3.6.1/3.1.4-06</vt:lpwstr>
  </property>
  <property fmtid="{D5CDD505-2E9C-101B-9397-08002B2CF9AE}" pid="18" name="XDF45371">
    <vt:lpwstr>Regional analgesi - vaginal forløsning, spinal/epidural</vt:lpwstr>
  </property>
  <property fmtid="{D5CDD505-2E9C-101B-9397-08002B2CF9AE}" pid="19" name="XDL45371">
    <vt:lpwstr>A3.6.1/3.1.4-06 Regional analgesi - vaginal forløsning, spinal/epidural</vt:lpwstr>
  </property>
  <property fmtid="{D5CDD505-2E9C-101B-9397-08002B2CF9AE}" pid="20" name="XDT45371">
    <vt:lpwstr>Regional analgesi - vaginal forløsning, spinal/epidural</vt:lpwstr>
  </property>
</Properties>
</file>